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6C15E" w14:textId="009096D6"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EE2E50">
        <w:rPr>
          <w:rFonts w:ascii="Acumin Pro" w:hAnsi="Acumin Pro"/>
          <w:sz w:val="20"/>
          <w:szCs w:val="20"/>
        </w:rPr>
        <w:t>28</w:t>
      </w:r>
      <w:r>
        <w:rPr>
          <w:rFonts w:ascii="Acumin Pro" w:hAnsi="Acumin Pro"/>
          <w:sz w:val="20"/>
          <w:szCs w:val="20"/>
        </w:rPr>
        <w:t>.0</w:t>
      </w:r>
      <w:r w:rsidR="00F721D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.202</w:t>
      </w:r>
      <w:r w:rsidR="00AA685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 xml:space="preserve"> r. </w:t>
      </w:r>
    </w:p>
    <w:p w14:paraId="35B52989" w14:textId="6738949B"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</w:t>
      </w:r>
      <w:r w:rsidR="00EE2E50">
        <w:rPr>
          <w:rFonts w:ascii="Acumin Pro" w:hAnsi="Acumin Pro"/>
          <w:sz w:val="20"/>
          <w:szCs w:val="20"/>
        </w:rPr>
        <w:t>3</w:t>
      </w:r>
      <w:r w:rsidR="00AA6858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202</w:t>
      </w:r>
      <w:r w:rsidR="00AA6858">
        <w:rPr>
          <w:rFonts w:ascii="Acumin Pro" w:hAnsi="Acumin Pro"/>
          <w:sz w:val="20"/>
          <w:szCs w:val="20"/>
        </w:rPr>
        <w:t>2</w:t>
      </w:r>
    </w:p>
    <w:p w14:paraId="02074650" w14:textId="77777777"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14:paraId="6C2120DC" w14:textId="00A9F84C"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 xml:space="preserve">postępowania przetargowego na </w:t>
      </w:r>
      <w:r w:rsidR="0046098B">
        <w:rPr>
          <w:rFonts w:ascii="Acumin Pro" w:hAnsi="Acumin Pro"/>
          <w:sz w:val="20"/>
          <w:szCs w:val="20"/>
          <w:lang w:val="pl-PL"/>
        </w:rPr>
        <w:t>w</w:t>
      </w:r>
      <w:r w:rsidR="0046098B" w:rsidRPr="0046098B">
        <w:rPr>
          <w:rFonts w:ascii="Acumin Pro" w:hAnsi="Acumin Pro"/>
          <w:sz w:val="20"/>
          <w:szCs w:val="20"/>
          <w:lang w:val="pl-PL"/>
        </w:rPr>
        <w:t xml:space="preserve">ykonanie robót budowlanych polegających na </w:t>
      </w:r>
      <w:r w:rsidR="00EE2E50" w:rsidRPr="003014DF">
        <w:rPr>
          <w:rFonts w:ascii="Acumin Pro" w:hAnsi="Acumin Pro"/>
          <w:sz w:val="20"/>
          <w:szCs w:val="20"/>
          <w:lang w:val="pl-PL"/>
        </w:rPr>
        <w:t>wymianie oraz konserwacji stolarki okiennej i zewnętrznej drzwiowej w Zamku w Gołuchowie, Oddziale Muzeum Narodowego w Poznaniu.</w:t>
      </w:r>
    </w:p>
    <w:p w14:paraId="4DF681CC" w14:textId="77777777"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14:paraId="04DE52D8" w14:textId="77777777"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14:paraId="601CD2E0" w14:textId="77777777" w:rsidR="000B4DD0" w:rsidRPr="000B4DD0" w:rsidRDefault="000B4DD0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 w:rsidRPr="000B4DD0">
        <w:rPr>
          <w:rFonts w:ascii="Acumin Pro" w:hAnsi="Acumin Pro"/>
          <w:b/>
          <w:sz w:val="28"/>
          <w:szCs w:val="28"/>
        </w:rPr>
        <w:t>PYTANIA I ODPOWIEDZI DO SWZ</w:t>
      </w:r>
    </w:p>
    <w:p w14:paraId="4CD2D43C" w14:textId="77777777" w:rsidR="000B4DD0" w:rsidRDefault="000B4DD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oparciu o art. 284 ust. 2 ustawy z dnia 11 września 2019 r. (Dz.U z 2019 r. poz. 2019 ze zm.), Zamawiający udziela odpowiedzi na pytania:</w:t>
      </w:r>
    </w:p>
    <w:p w14:paraId="4F24DB1C" w14:textId="77777777" w:rsidR="00645856" w:rsidRDefault="00645856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14:paraId="71445030" w14:textId="0259F4AF" w:rsidR="00700A4A" w:rsidRPr="003014DF" w:rsidRDefault="00D438DC" w:rsidP="00D438DC">
      <w:pPr>
        <w:pStyle w:val="western"/>
        <w:numPr>
          <w:ilvl w:val="0"/>
          <w:numId w:val="15"/>
        </w:numPr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  <w:r w:rsidRPr="003014DF">
        <w:rPr>
          <w:rFonts w:ascii="Acumin Pro" w:hAnsi="Acumin Pro"/>
          <w:sz w:val="20"/>
          <w:szCs w:val="20"/>
        </w:rPr>
        <w:t xml:space="preserve">W Specyfikacji Warunków Zamówienia jest warunek, że montowane okna i drzwi muszą spełniać wymogi określone w załączniku nr 1 do Rozporządzenia Ministra Kultury i Dziedzictwa Narodowego z dnia 2 września 2014 r. w sprawie zabezpieczenia zbiorów muzeum przed pożarem, kradzieżą i innym niebezpieczeństwem grożącym ich zniszczeniem lub utratą. Natomiast w projekcie prac budowlano-konserwatorskich są zapisy, że zawiasy oraz klamki okienne i drzwiowe mają być na wzór istniejących. Są to zapisy wykluczające się, ponieważ </w:t>
      </w:r>
      <w:proofErr w:type="spellStart"/>
      <w:r w:rsidRPr="003014DF">
        <w:rPr>
          <w:rFonts w:ascii="Acumin Pro" w:hAnsi="Acumin Pro"/>
          <w:sz w:val="20"/>
          <w:szCs w:val="20"/>
        </w:rPr>
        <w:t>okucie,aby</w:t>
      </w:r>
      <w:proofErr w:type="spellEnd"/>
      <w:r w:rsidRPr="003014DF">
        <w:rPr>
          <w:rFonts w:ascii="Acumin Pro" w:hAnsi="Acumin Pro"/>
          <w:sz w:val="20"/>
          <w:szCs w:val="20"/>
        </w:rPr>
        <w:t xml:space="preserve"> spełniało normy odporności na włamanie musi być systemowe.</w:t>
      </w:r>
    </w:p>
    <w:p w14:paraId="4B3A8055" w14:textId="77777777" w:rsidR="00D438DC" w:rsidRDefault="00D438DC" w:rsidP="0006658F">
      <w:pPr>
        <w:pStyle w:val="western"/>
        <w:spacing w:before="0" w:beforeAutospacing="0" w:after="0" w:afterAutospacing="0"/>
        <w:ind w:left="360"/>
        <w:jc w:val="both"/>
        <w:rPr>
          <w:rFonts w:ascii="Acumin Pro" w:hAnsi="Acumin Pro"/>
          <w:sz w:val="20"/>
          <w:szCs w:val="20"/>
        </w:rPr>
      </w:pPr>
    </w:p>
    <w:p w14:paraId="0AFDD676" w14:textId="77777777" w:rsidR="0079712E" w:rsidRPr="0079712E" w:rsidRDefault="000B4DD0" w:rsidP="0079712E">
      <w:pPr>
        <w:pStyle w:val="western"/>
        <w:jc w:val="both"/>
        <w:rPr>
          <w:rFonts w:ascii="Acumin Pro" w:hAnsi="Acumin Pro"/>
          <w:sz w:val="20"/>
          <w:szCs w:val="20"/>
        </w:rPr>
      </w:pPr>
      <w:r w:rsidRPr="00025309">
        <w:rPr>
          <w:rFonts w:ascii="Acumin Pro" w:hAnsi="Acumin Pro"/>
          <w:b/>
          <w:sz w:val="20"/>
          <w:szCs w:val="20"/>
        </w:rPr>
        <w:t>Odpowiedź:</w:t>
      </w:r>
      <w:r w:rsidR="00182767" w:rsidRPr="00025309">
        <w:rPr>
          <w:rFonts w:ascii="Acumin Pro" w:hAnsi="Acumin Pro"/>
          <w:b/>
          <w:sz w:val="20"/>
          <w:szCs w:val="20"/>
        </w:rPr>
        <w:t xml:space="preserve"> </w:t>
      </w:r>
      <w:r w:rsidR="0079712E" w:rsidRPr="0079712E">
        <w:rPr>
          <w:rFonts w:ascii="Acumin Pro" w:hAnsi="Acumin Pro"/>
          <w:sz w:val="20"/>
          <w:szCs w:val="20"/>
        </w:rPr>
        <w:t>Wymogi określone w załączniku nr 1 do Rozporządzenia Ministra Kultury i Dziedzictwa Narodowego z dnia 2 września 2014 r. w sprawie zabezpieczenia zbiorów muzeum przed pożarem, kradzieżą i innym niebezpieczeństwem grożącym ich zniszczeniem lub utratą, dotyczące okuć ( zawiasy, klamki ) należy uwzględnić w stolarce okiennej podlegającej wymianie i zlokalizowanej na poziomie piwnicy ( O10 - 4 szt. ; O38 ÷ O45 ; O45a ).</w:t>
      </w:r>
    </w:p>
    <w:p w14:paraId="0DCB55CD" w14:textId="6B0A7380" w:rsidR="0030350C" w:rsidRDefault="0030350C" w:rsidP="0079712E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14:paraId="6383EBC5" w14:textId="25A9D90B" w:rsidR="00887CF8" w:rsidRDefault="00D438DC" w:rsidP="002F6C21">
      <w:pPr>
        <w:pStyle w:val="western"/>
        <w:numPr>
          <w:ilvl w:val="0"/>
          <w:numId w:val="15"/>
        </w:numPr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  <w:r w:rsidRPr="003014DF">
        <w:rPr>
          <w:rFonts w:ascii="Acumin Pro" w:hAnsi="Acumin Pro"/>
          <w:sz w:val="20"/>
          <w:szCs w:val="20"/>
        </w:rPr>
        <w:t>W projekcie prac budowlano-konserwatorskich opisany jest rodzaj szklenia: " z szybami zewnętrznymi ze szkła walcowanego, szybami wewnętrznymi ze szkła zwykłego, z warstwą niskoemisyjnej folii blokującej przepływ promieni UV.</w:t>
      </w:r>
      <w:r w:rsidRPr="003014DF">
        <w:rPr>
          <w:rFonts w:ascii="Acumin Pro" w:hAnsi="Acumin Pro"/>
          <w:sz w:val="20"/>
          <w:szCs w:val="20"/>
        </w:rPr>
        <w:br/>
        <w:t>Szkło walcowane nie jest produkowane. Jaka  ma być transmisja promieni UV w folii ?</w:t>
      </w:r>
    </w:p>
    <w:p w14:paraId="7FF84E76" w14:textId="77777777" w:rsidR="002F6C21" w:rsidRDefault="002F6C21" w:rsidP="00773250">
      <w:pPr>
        <w:pStyle w:val="western"/>
        <w:spacing w:before="0" w:beforeAutospacing="0" w:after="0" w:afterAutospacing="0"/>
        <w:jc w:val="both"/>
        <w:rPr>
          <w:rFonts w:ascii="Acumin Pro" w:hAnsi="Acumin Pro"/>
          <w:b/>
          <w:sz w:val="20"/>
          <w:szCs w:val="20"/>
        </w:rPr>
      </w:pPr>
    </w:p>
    <w:p w14:paraId="4061E721" w14:textId="77777777" w:rsidR="00C822CC" w:rsidRPr="00C822CC" w:rsidRDefault="00DC2112" w:rsidP="00C822CC">
      <w:pPr>
        <w:pStyle w:val="western"/>
        <w:jc w:val="both"/>
        <w:rPr>
          <w:rFonts w:ascii="Acumin Pro" w:hAnsi="Acumin Pro"/>
          <w:sz w:val="20"/>
          <w:szCs w:val="20"/>
        </w:rPr>
      </w:pPr>
      <w:r w:rsidRPr="000529E4">
        <w:rPr>
          <w:rFonts w:ascii="Acumin Pro" w:hAnsi="Acumin Pro"/>
          <w:b/>
          <w:sz w:val="20"/>
          <w:szCs w:val="20"/>
        </w:rPr>
        <w:t>Odpowiedź</w:t>
      </w:r>
      <w:r w:rsidR="00B54C56" w:rsidRPr="00B54C56">
        <w:t xml:space="preserve"> </w:t>
      </w:r>
      <w:r w:rsidR="00C822CC" w:rsidRPr="00C822CC">
        <w:rPr>
          <w:rFonts w:ascii="Acumin Pro" w:hAnsi="Acumin Pro"/>
          <w:sz w:val="20"/>
          <w:szCs w:val="20"/>
        </w:rPr>
        <w:t>Zgodnie z projektem należy szklić szkłem walcowanym. W sytuacji braku możliwości zakupu szkła walcowanego, Zamawiający wyraża zgodę na zastosowanie szyb ze szkła konserwatorskiego do renowacji obiektów zabytkowych.</w:t>
      </w:r>
    </w:p>
    <w:p w14:paraId="17257685" w14:textId="2882E397" w:rsidR="000529E4" w:rsidRPr="003014DF" w:rsidRDefault="000529E4" w:rsidP="00C822CC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14:paraId="35AEE61D" w14:textId="1D177A3D" w:rsidR="003260A8" w:rsidRDefault="002F6C21" w:rsidP="002F6C21">
      <w:pPr>
        <w:pStyle w:val="western"/>
        <w:numPr>
          <w:ilvl w:val="0"/>
          <w:numId w:val="15"/>
        </w:numPr>
        <w:spacing w:before="0" w:beforeAutospacing="0" w:after="0" w:afterAutospacing="0"/>
        <w:ind w:left="426" w:hanging="426"/>
        <w:jc w:val="both"/>
        <w:rPr>
          <w:rFonts w:ascii="Acumin Pro" w:hAnsi="Acumin Pro"/>
          <w:sz w:val="20"/>
          <w:szCs w:val="20"/>
        </w:rPr>
      </w:pPr>
      <w:r w:rsidRPr="003014DF">
        <w:rPr>
          <w:rFonts w:ascii="Acumin Pro" w:hAnsi="Acumin Pro"/>
          <w:sz w:val="20"/>
          <w:szCs w:val="20"/>
        </w:rPr>
        <w:t>W Specyfikacji Warunków Zamówienia zawarty został warunek, iż osoba kierująca pracami konserwatorskimi ma spełniać wymagania, o których mowa w art. 37a ustawy o ochronie zabytków i opiece nad zabytkami ( Dz. U.2003 nr 162,poz. 1568), tj.: ukończyła studia drugiego  stopnia lub jednolite studia magisterskie w zakresie konserwacji i restauracji dzieł sztuki lub konserwacji zabytków.</w:t>
      </w:r>
      <w:r w:rsidRPr="003014DF">
        <w:rPr>
          <w:rFonts w:ascii="Acumin Pro" w:hAnsi="Acumin Pro"/>
          <w:sz w:val="20"/>
          <w:szCs w:val="20"/>
        </w:rPr>
        <w:br/>
      </w:r>
      <w:r w:rsidRPr="003014DF">
        <w:rPr>
          <w:rFonts w:ascii="Acumin Pro" w:hAnsi="Acumin Pro"/>
          <w:sz w:val="20"/>
          <w:szCs w:val="20"/>
        </w:rPr>
        <w:br/>
        <w:t>Bardzo proszę o informację czy osoba kierująca pracami konserwatorskimi, która ukończyła jednolite studia magisterskie w zakresie konserwacji malarstwa spełnia warunek.</w:t>
      </w:r>
    </w:p>
    <w:p w14:paraId="11BEAB53" w14:textId="17F8B208" w:rsidR="00887CF8" w:rsidRDefault="003A0A4C" w:rsidP="00C1544F">
      <w:pPr>
        <w:pStyle w:val="western"/>
        <w:jc w:val="both"/>
        <w:rPr>
          <w:rFonts w:ascii="Acumin Pro" w:hAnsi="Acumin Pro"/>
          <w:sz w:val="20"/>
          <w:szCs w:val="20"/>
        </w:rPr>
      </w:pPr>
      <w:r w:rsidRPr="00EB7471">
        <w:rPr>
          <w:rFonts w:ascii="Acumin Pro" w:hAnsi="Acumin Pro"/>
          <w:b/>
          <w:sz w:val="20"/>
          <w:szCs w:val="20"/>
        </w:rPr>
        <w:lastRenderedPageBreak/>
        <w:t>Odpowiedź:</w:t>
      </w:r>
      <w:r w:rsidRPr="00EB7471">
        <w:rPr>
          <w:rFonts w:ascii="Acumin Pro" w:hAnsi="Acumin Pro"/>
          <w:sz w:val="20"/>
          <w:szCs w:val="20"/>
        </w:rPr>
        <w:t xml:space="preserve"> </w:t>
      </w:r>
      <w:r w:rsidRPr="00345679">
        <w:rPr>
          <w:rFonts w:ascii="Acumin Pro" w:hAnsi="Acumin Pro"/>
          <w:sz w:val="20"/>
          <w:szCs w:val="20"/>
        </w:rPr>
        <w:t xml:space="preserve">Zamawiający </w:t>
      </w:r>
      <w:r w:rsidR="008F6568" w:rsidRPr="00345679">
        <w:rPr>
          <w:rFonts w:ascii="Acumin Pro" w:hAnsi="Acumin Pro"/>
          <w:sz w:val="20"/>
          <w:szCs w:val="20"/>
        </w:rPr>
        <w:t xml:space="preserve">uzna spełnianie warunku </w:t>
      </w:r>
      <w:r w:rsidR="00093C8F" w:rsidRPr="00345679">
        <w:rPr>
          <w:rFonts w:ascii="Acumin Pro" w:hAnsi="Acumin Pro"/>
          <w:sz w:val="20"/>
          <w:szCs w:val="20"/>
        </w:rPr>
        <w:t xml:space="preserve">w przypadku </w:t>
      </w:r>
      <w:r w:rsidR="003840EB" w:rsidRPr="003014DF">
        <w:rPr>
          <w:rFonts w:ascii="Acumin Pro" w:hAnsi="Acumin Pro"/>
          <w:sz w:val="20"/>
          <w:szCs w:val="20"/>
        </w:rPr>
        <w:t>osob</w:t>
      </w:r>
      <w:r w:rsidR="00093C8F" w:rsidRPr="003014DF">
        <w:rPr>
          <w:rFonts w:ascii="Acumin Pro" w:hAnsi="Acumin Pro"/>
          <w:sz w:val="20"/>
          <w:szCs w:val="20"/>
        </w:rPr>
        <w:t>y</w:t>
      </w:r>
      <w:r w:rsidR="003840EB" w:rsidRPr="003014DF">
        <w:rPr>
          <w:rFonts w:ascii="Acumin Pro" w:hAnsi="Acumin Pro"/>
          <w:sz w:val="20"/>
          <w:szCs w:val="20"/>
        </w:rPr>
        <w:t xml:space="preserve"> kierując</w:t>
      </w:r>
      <w:r w:rsidR="00093C8F" w:rsidRPr="003014DF">
        <w:rPr>
          <w:rFonts w:ascii="Acumin Pro" w:hAnsi="Acumin Pro"/>
          <w:sz w:val="20"/>
          <w:szCs w:val="20"/>
        </w:rPr>
        <w:t>ej</w:t>
      </w:r>
      <w:r w:rsidR="003840EB" w:rsidRPr="003014DF">
        <w:rPr>
          <w:rFonts w:ascii="Acumin Pro" w:hAnsi="Acumin Pro"/>
          <w:sz w:val="20"/>
          <w:szCs w:val="20"/>
        </w:rPr>
        <w:t xml:space="preserve"> pracami konserwatorskimi, która ukończyła jednolite studia magisterskie w</w:t>
      </w:r>
      <w:r w:rsidR="00345679" w:rsidRPr="003014DF">
        <w:rPr>
          <w:rFonts w:ascii="Acumin Pro" w:hAnsi="Acumin Pro"/>
          <w:sz w:val="20"/>
          <w:szCs w:val="20"/>
        </w:rPr>
        <w:t xml:space="preserve"> zakresie konserwacji malarstwa.</w:t>
      </w:r>
    </w:p>
    <w:p w14:paraId="78CE62B3" w14:textId="5BE79420" w:rsidR="00C8652A" w:rsidRDefault="00C8652A" w:rsidP="008E6F76">
      <w:pPr>
        <w:pStyle w:val="Akapitzlist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3014DF">
        <w:rPr>
          <w:rFonts w:ascii="Acumin Pro" w:eastAsia="Times New Roman" w:hAnsi="Acumin Pro"/>
          <w:sz w:val="20"/>
          <w:szCs w:val="20"/>
          <w:lang w:val="pl-PL" w:eastAsia="pl-PL"/>
        </w:rPr>
        <w:t xml:space="preserve">Zwracam </w:t>
      </w:r>
      <w:proofErr w:type="spellStart"/>
      <w:r w:rsidRPr="003014DF">
        <w:rPr>
          <w:rFonts w:ascii="Acumin Pro" w:eastAsia="Times New Roman" w:hAnsi="Acumin Pro"/>
          <w:sz w:val="20"/>
          <w:szCs w:val="20"/>
          <w:lang w:val="pl-PL" w:eastAsia="pl-PL"/>
        </w:rPr>
        <w:t>sie</w:t>
      </w:r>
      <w:proofErr w:type="spellEnd"/>
      <w:r w:rsidRPr="003014DF">
        <w:rPr>
          <w:rFonts w:ascii="Acumin Pro" w:eastAsia="Times New Roman" w:hAnsi="Acumin Pro"/>
          <w:sz w:val="20"/>
          <w:szCs w:val="20"/>
          <w:lang w:val="pl-PL" w:eastAsia="pl-PL"/>
        </w:rPr>
        <w:t xml:space="preserve"> z pytaniem czy w stolarce okiennej należy zastosować pakiety szybowe ze szkłem 4/16/4 o który nie spełnia wymaganych prawem budowlanym współczynniku przenikania ciepła, czy te</w:t>
      </w:r>
      <w:r w:rsidR="00C27265" w:rsidRPr="003014DF">
        <w:rPr>
          <w:rFonts w:ascii="Acumin Pro" w:eastAsia="Times New Roman" w:hAnsi="Acumin Pro"/>
          <w:sz w:val="20"/>
          <w:szCs w:val="20"/>
          <w:lang w:val="pl-PL" w:eastAsia="pl-PL"/>
        </w:rPr>
        <w:t>ż</w:t>
      </w:r>
      <w:r w:rsidRPr="003014DF">
        <w:rPr>
          <w:rFonts w:ascii="Acumin Pro" w:eastAsia="Times New Roman" w:hAnsi="Acumin Pro"/>
          <w:sz w:val="20"/>
          <w:szCs w:val="20"/>
          <w:lang w:val="pl-PL" w:eastAsia="pl-PL"/>
        </w:rPr>
        <w:t xml:space="preserve"> pakiety zgodne z obowiązującymi normami (współczynnik 0.9)?</w:t>
      </w:r>
    </w:p>
    <w:p w14:paraId="321F6C15" w14:textId="77777777" w:rsidR="008E6F76" w:rsidRPr="003014DF" w:rsidRDefault="008E6F76" w:rsidP="00C865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38261394" w14:textId="19EB3AEF" w:rsidR="00C8652A" w:rsidRPr="00C8652A" w:rsidRDefault="008E6F76" w:rsidP="00C865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3014DF">
        <w:rPr>
          <w:rFonts w:ascii="Acumin Pro" w:hAnsi="Acumin Pro"/>
          <w:b/>
          <w:sz w:val="20"/>
          <w:szCs w:val="20"/>
          <w:lang w:val="pl-PL"/>
        </w:rPr>
        <w:t>Odpowiedź:</w:t>
      </w:r>
      <w:r w:rsidRPr="003014DF">
        <w:rPr>
          <w:rFonts w:ascii="Acumin Pro" w:hAnsi="Acumin Pro"/>
          <w:sz w:val="20"/>
          <w:szCs w:val="20"/>
          <w:lang w:val="pl-PL"/>
        </w:rPr>
        <w:t xml:space="preserve"> </w:t>
      </w:r>
      <w:r w:rsidRPr="008E6F76">
        <w:rPr>
          <w:rFonts w:ascii="Acumin Pro" w:hAnsi="Acumin Pro"/>
          <w:sz w:val="20"/>
          <w:szCs w:val="20"/>
          <w:lang w:val="pl-PL"/>
        </w:rPr>
        <w:t>Transmisja promieni UV folii powinna wynosić 0 ÷ 1 %.</w:t>
      </w:r>
      <w:r w:rsidR="00BB6C91" w:rsidRPr="00BB6C91">
        <w:rPr>
          <w:rFonts w:ascii="Acumin Pro" w:hAnsi="Acumin Pro"/>
          <w:sz w:val="20"/>
          <w:szCs w:val="20"/>
          <w:lang w:val="pl-PL"/>
        </w:rPr>
        <w:t xml:space="preserve"> W stolarce okiennej należy zastosować pakiety szybowe zgodne z opisem na rysunkach stolarki okiennej.</w:t>
      </w:r>
    </w:p>
    <w:p w14:paraId="15D83E70" w14:textId="021925C7" w:rsidR="00BB6C91" w:rsidRPr="00BB6C91" w:rsidRDefault="00BB6C91" w:rsidP="00BB6C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20"/>
        <w:jc w:val="both"/>
        <w:rPr>
          <w:rFonts w:ascii="Acumin Pro" w:hAnsi="Acumin Pro"/>
          <w:sz w:val="20"/>
          <w:szCs w:val="20"/>
          <w:lang w:val="pl-PL"/>
        </w:rPr>
      </w:pPr>
    </w:p>
    <w:p w14:paraId="27C9D727" w14:textId="77777777" w:rsidR="00C8652A" w:rsidRDefault="00C8652A" w:rsidP="00C865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7040A25C" w14:textId="77777777" w:rsidR="00BB6C91" w:rsidRDefault="00BB6C91" w:rsidP="00C865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7AA1A4D2" w14:textId="577B97A0" w:rsidR="00BB6C91" w:rsidRDefault="003014DF" w:rsidP="00C865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>(-) Tomasz Łęcki</w:t>
      </w:r>
    </w:p>
    <w:p w14:paraId="3B74B5C8" w14:textId="2A423AD2" w:rsidR="003014DF" w:rsidRDefault="003014DF" w:rsidP="00C865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 xml:space="preserve"> 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Muzeum Narodowe w Poznaniu </w:t>
      </w:r>
    </w:p>
    <w:p w14:paraId="263D00CE" w14:textId="77777777" w:rsidR="00BB6C91" w:rsidRPr="00C8652A" w:rsidRDefault="00BB6C91" w:rsidP="00C865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054FCA77" w14:textId="77777777" w:rsidR="00C8652A" w:rsidRPr="00C8652A" w:rsidRDefault="00C8652A" w:rsidP="00C865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6116DBCB" w14:textId="77777777" w:rsidR="00C8652A" w:rsidRPr="00C8652A" w:rsidRDefault="00C8652A" w:rsidP="00C865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sectPr w:rsidR="00C8652A" w:rsidRPr="00C8652A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DF26A" w14:textId="77777777" w:rsidR="00F16CB9" w:rsidRDefault="00F16CB9">
      <w:r>
        <w:separator/>
      </w:r>
    </w:p>
  </w:endnote>
  <w:endnote w:type="continuationSeparator" w:id="0">
    <w:p w14:paraId="40D436D6" w14:textId="77777777" w:rsidR="00F16CB9" w:rsidRDefault="00F16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76704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AF98A" w14:textId="77777777"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19F6A534" wp14:editId="262C6CE5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3DEB2" w14:textId="77777777" w:rsidR="00F16CB9" w:rsidRDefault="00F16CB9">
      <w:r>
        <w:separator/>
      </w:r>
    </w:p>
  </w:footnote>
  <w:footnote w:type="continuationSeparator" w:id="0">
    <w:p w14:paraId="6FA51830" w14:textId="77777777" w:rsidR="00F16CB9" w:rsidRDefault="00F16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2B3C4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3F696D94" wp14:editId="4A9D91FE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376DE5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793548"/>
    <w:multiLevelType w:val="hybridMultilevel"/>
    <w:tmpl w:val="8CDAF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07127"/>
    <w:multiLevelType w:val="multilevel"/>
    <w:tmpl w:val="554E14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3" w15:restartNumberingAfterBreak="0">
    <w:nsid w:val="10EE1D47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E035C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00B0A3C"/>
    <w:multiLevelType w:val="hybridMultilevel"/>
    <w:tmpl w:val="E5929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3A4996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953D72"/>
    <w:multiLevelType w:val="multilevel"/>
    <w:tmpl w:val="DADA5824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53695B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3318C9"/>
    <w:multiLevelType w:val="hybridMultilevel"/>
    <w:tmpl w:val="0BA0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3D66DB"/>
    <w:multiLevelType w:val="multilevel"/>
    <w:tmpl w:val="4FFC063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2"/>
  </w:num>
  <w:num w:numId="3">
    <w:abstractNumId w:val="14"/>
  </w:num>
  <w:num w:numId="4">
    <w:abstractNumId w:val="10"/>
  </w:num>
  <w:num w:numId="5">
    <w:abstractNumId w:val="4"/>
  </w:num>
  <w:num w:numId="6">
    <w:abstractNumId w:val="3"/>
  </w:num>
  <w:num w:numId="7">
    <w:abstractNumId w:val="13"/>
  </w:num>
  <w:num w:numId="8">
    <w:abstractNumId w:val="6"/>
  </w:num>
  <w:num w:numId="9">
    <w:abstractNumId w:val="8"/>
  </w:num>
  <w:num w:numId="10">
    <w:abstractNumId w:val="9"/>
  </w:num>
  <w:num w:numId="11">
    <w:abstractNumId w:val="11"/>
  </w:num>
  <w:num w:numId="12">
    <w:abstractNumId w:val="15"/>
  </w:num>
  <w:num w:numId="13">
    <w:abstractNumId w:val="2"/>
  </w:num>
  <w:num w:numId="14">
    <w:abstractNumId w:val="5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6A92"/>
    <w:rsid w:val="00016203"/>
    <w:rsid w:val="00025309"/>
    <w:rsid w:val="00034959"/>
    <w:rsid w:val="000529E4"/>
    <w:rsid w:val="0006658F"/>
    <w:rsid w:val="00077B93"/>
    <w:rsid w:val="00093C8F"/>
    <w:rsid w:val="000A5198"/>
    <w:rsid w:val="000B4DD0"/>
    <w:rsid w:val="000D1E72"/>
    <w:rsid w:val="000D5D9B"/>
    <w:rsid w:val="001023E6"/>
    <w:rsid w:val="00154F2C"/>
    <w:rsid w:val="001704E2"/>
    <w:rsid w:val="00172407"/>
    <w:rsid w:val="00182767"/>
    <w:rsid w:val="001C3207"/>
    <w:rsid w:val="001D45B0"/>
    <w:rsid w:val="001F0E25"/>
    <w:rsid w:val="001F3F04"/>
    <w:rsid w:val="0020284F"/>
    <w:rsid w:val="002107C0"/>
    <w:rsid w:val="00225446"/>
    <w:rsid w:val="00241034"/>
    <w:rsid w:val="00250893"/>
    <w:rsid w:val="002574D5"/>
    <w:rsid w:val="00270B9C"/>
    <w:rsid w:val="00291E43"/>
    <w:rsid w:val="002D7132"/>
    <w:rsid w:val="002E6083"/>
    <w:rsid w:val="002F6C21"/>
    <w:rsid w:val="003014DF"/>
    <w:rsid w:val="0030350C"/>
    <w:rsid w:val="00321A8F"/>
    <w:rsid w:val="0032538C"/>
    <w:rsid w:val="00325C37"/>
    <w:rsid w:val="003260A8"/>
    <w:rsid w:val="00333594"/>
    <w:rsid w:val="00336C2B"/>
    <w:rsid w:val="00345679"/>
    <w:rsid w:val="00354309"/>
    <w:rsid w:val="00367317"/>
    <w:rsid w:val="003840EB"/>
    <w:rsid w:val="003A0A4C"/>
    <w:rsid w:val="003A6470"/>
    <w:rsid w:val="003B3311"/>
    <w:rsid w:val="003E6B09"/>
    <w:rsid w:val="003E76E2"/>
    <w:rsid w:val="004012C9"/>
    <w:rsid w:val="00403B2C"/>
    <w:rsid w:val="00435A22"/>
    <w:rsid w:val="00435CF9"/>
    <w:rsid w:val="00440259"/>
    <w:rsid w:val="0046098B"/>
    <w:rsid w:val="00467AC4"/>
    <w:rsid w:val="00472F5F"/>
    <w:rsid w:val="004A6CDB"/>
    <w:rsid w:val="004B1F28"/>
    <w:rsid w:val="004C712A"/>
    <w:rsid w:val="004D165F"/>
    <w:rsid w:val="004E6430"/>
    <w:rsid w:val="004E7901"/>
    <w:rsid w:val="004F174B"/>
    <w:rsid w:val="004F75FC"/>
    <w:rsid w:val="00507293"/>
    <w:rsid w:val="00514881"/>
    <w:rsid w:val="0052214B"/>
    <w:rsid w:val="0053641E"/>
    <w:rsid w:val="00545297"/>
    <w:rsid w:val="00562D90"/>
    <w:rsid w:val="0057622D"/>
    <w:rsid w:val="00590B44"/>
    <w:rsid w:val="005A018E"/>
    <w:rsid w:val="005B3EF9"/>
    <w:rsid w:val="005E0CDD"/>
    <w:rsid w:val="005F5CF6"/>
    <w:rsid w:val="00645856"/>
    <w:rsid w:val="0066575D"/>
    <w:rsid w:val="00667307"/>
    <w:rsid w:val="00673B1D"/>
    <w:rsid w:val="00676ED6"/>
    <w:rsid w:val="00677E30"/>
    <w:rsid w:val="006D1838"/>
    <w:rsid w:val="006E2F0C"/>
    <w:rsid w:val="006F5B1F"/>
    <w:rsid w:val="00700A4A"/>
    <w:rsid w:val="00705BD2"/>
    <w:rsid w:val="00732263"/>
    <w:rsid w:val="00773250"/>
    <w:rsid w:val="00787CCA"/>
    <w:rsid w:val="0079683D"/>
    <w:rsid w:val="0079712E"/>
    <w:rsid w:val="007B5AC0"/>
    <w:rsid w:val="007C6A86"/>
    <w:rsid w:val="007C6C75"/>
    <w:rsid w:val="007E23C5"/>
    <w:rsid w:val="007E246B"/>
    <w:rsid w:val="007F5AC4"/>
    <w:rsid w:val="00820F6B"/>
    <w:rsid w:val="008425DB"/>
    <w:rsid w:val="00885C3A"/>
    <w:rsid w:val="00887CF8"/>
    <w:rsid w:val="00893204"/>
    <w:rsid w:val="008A42B8"/>
    <w:rsid w:val="008A4D87"/>
    <w:rsid w:val="008D75F8"/>
    <w:rsid w:val="008E6F76"/>
    <w:rsid w:val="008E7FC0"/>
    <w:rsid w:val="008F2C2C"/>
    <w:rsid w:val="008F6568"/>
    <w:rsid w:val="00911FCE"/>
    <w:rsid w:val="00913774"/>
    <w:rsid w:val="00931AD1"/>
    <w:rsid w:val="00967D1F"/>
    <w:rsid w:val="009B255C"/>
    <w:rsid w:val="009E58F9"/>
    <w:rsid w:val="00A0339B"/>
    <w:rsid w:val="00A100A2"/>
    <w:rsid w:val="00A2690E"/>
    <w:rsid w:val="00A67C40"/>
    <w:rsid w:val="00A707EB"/>
    <w:rsid w:val="00A8218C"/>
    <w:rsid w:val="00A86A3A"/>
    <w:rsid w:val="00AA6858"/>
    <w:rsid w:val="00AB10C7"/>
    <w:rsid w:val="00AB19FA"/>
    <w:rsid w:val="00AC2B2A"/>
    <w:rsid w:val="00B10D0B"/>
    <w:rsid w:val="00B24F28"/>
    <w:rsid w:val="00B26824"/>
    <w:rsid w:val="00B26BDE"/>
    <w:rsid w:val="00B54C56"/>
    <w:rsid w:val="00B64EC9"/>
    <w:rsid w:val="00B72EB1"/>
    <w:rsid w:val="00B833B7"/>
    <w:rsid w:val="00B97175"/>
    <w:rsid w:val="00BA74AC"/>
    <w:rsid w:val="00BB2C73"/>
    <w:rsid w:val="00BB6C91"/>
    <w:rsid w:val="00BC4E23"/>
    <w:rsid w:val="00BD5E2C"/>
    <w:rsid w:val="00C0053F"/>
    <w:rsid w:val="00C13AAD"/>
    <w:rsid w:val="00C1544F"/>
    <w:rsid w:val="00C16BF4"/>
    <w:rsid w:val="00C24790"/>
    <w:rsid w:val="00C27265"/>
    <w:rsid w:val="00C30CAD"/>
    <w:rsid w:val="00C3640E"/>
    <w:rsid w:val="00C641C5"/>
    <w:rsid w:val="00C67E9C"/>
    <w:rsid w:val="00C72E33"/>
    <w:rsid w:val="00C822CC"/>
    <w:rsid w:val="00C8652A"/>
    <w:rsid w:val="00CB5CAC"/>
    <w:rsid w:val="00CC31C5"/>
    <w:rsid w:val="00CC4A7D"/>
    <w:rsid w:val="00CC5E4A"/>
    <w:rsid w:val="00CD6CE8"/>
    <w:rsid w:val="00CF1D99"/>
    <w:rsid w:val="00CF6669"/>
    <w:rsid w:val="00CF711D"/>
    <w:rsid w:val="00D20C7F"/>
    <w:rsid w:val="00D438DC"/>
    <w:rsid w:val="00D64F2C"/>
    <w:rsid w:val="00D70035"/>
    <w:rsid w:val="00D8115A"/>
    <w:rsid w:val="00D96F87"/>
    <w:rsid w:val="00DA31E3"/>
    <w:rsid w:val="00DA6978"/>
    <w:rsid w:val="00DB0BB2"/>
    <w:rsid w:val="00DB676E"/>
    <w:rsid w:val="00DC138D"/>
    <w:rsid w:val="00DC2112"/>
    <w:rsid w:val="00DD3108"/>
    <w:rsid w:val="00DF4C4B"/>
    <w:rsid w:val="00DF57A3"/>
    <w:rsid w:val="00E1342A"/>
    <w:rsid w:val="00E40B5F"/>
    <w:rsid w:val="00E56E23"/>
    <w:rsid w:val="00E77CBD"/>
    <w:rsid w:val="00E86157"/>
    <w:rsid w:val="00EB7471"/>
    <w:rsid w:val="00EE2856"/>
    <w:rsid w:val="00EE2E50"/>
    <w:rsid w:val="00EE36B5"/>
    <w:rsid w:val="00F10993"/>
    <w:rsid w:val="00F13CD2"/>
    <w:rsid w:val="00F16CB9"/>
    <w:rsid w:val="00F34243"/>
    <w:rsid w:val="00F36549"/>
    <w:rsid w:val="00F575DB"/>
    <w:rsid w:val="00F62BF7"/>
    <w:rsid w:val="00F706F9"/>
    <w:rsid w:val="00F721D8"/>
    <w:rsid w:val="00F84529"/>
    <w:rsid w:val="00FA121B"/>
    <w:rsid w:val="00FB0130"/>
    <w:rsid w:val="00FD036D"/>
    <w:rsid w:val="00FF6AE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FEBD4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8D5FF-BD8D-4694-AB15-2A6F6A0E1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4</cp:revision>
  <cp:lastPrinted>2022-01-26T16:48:00Z</cp:lastPrinted>
  <dcterms:created xsi:type="dcterms:W3CDTF">2022-02-26T21:24:00Z</dcterms:created>
  <dcterms:modified xsi:type="dcterms:W3CDTF">2022-02-28T14:48:00Z</dcterms:modified>
</cp:coreProperties>
</file>