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648" w:rsidRDefault="00DD2648" w:rsidP="00DD2648">
      <w:pPr>
        <w:spacing w:after="0" w:line="240" w:lineRule="auto"/>
        <w:jc w:val="right"/>
        <w:rPr>
          <w:rFonts w:ascii="Acumin Pro" w:hAnsi="Acumin Pro"/>
          <w:b/>
          <w:bCs/>
          <w:sz w:val="18"/>
          <w:szCs w:val="18"/>
        </w:rPr>
      </w:pPr>
      <w:r>
        <w:rPr>
          <w:rFonts w:ascii="Acumin Pro" w:hAnsi="Acumin Pro"/>
          <w:b/>
          <w:bCs/>
          <w:sz w:val="18"/>
          <w:szCs w:val="18"/>
        </w:rPr>
        <w:t>Załącznik nr 1 do SWZ</w:t>
      </w:r>
    </w:p>
    <w:p w:rsidR="00DD2648" w:rsidRDefault="00DD2648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  <w:r>
        <w:rPr>
          <w:rFonts w:ascii="Acumin Pro" w:hAnsi="Acumin Pro"/>
          <w:b/>
          <w:bCs/>
          <w:sz w:val="18"/>
          <w:szCs w:val="18"/>
        </w:rPr>
        <w:t>AZ.281.</w:t>
      </w:r>
      <w:r w:rsidR="00B57259">
        <w:rPr>
          <w:rFonts w:ascii="Acumin Pro" w:hAnsi="Acumin Pro"/>
          <w:b/>
          <w:bCs/>
          <w:sz w:val="18"/>
          <w:szCs w:val="18"/>
        </w:rPr>
        <w:t>11</w:t>
      </w:r>
      <w:r>
        <w:rPr>
          <w:rFonts w:ascii="Acumin Pro" w:hAnsi="Acumin Pro"/>
          <w:b/>
          <w:bCs/>
          <w:sz w:val="18"/>
          <w:szCs w:val="18"/>
        </w:rPr>
        <w:t>.2021</w:t>
      </w:r>
    </w:p>
    <w:p w:rsidR="00DD2648" w:rsidRDefault="00DD2648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</w:p>
    <w:p w:rsidR="00DD2648" w:rsidRDefault="00DD2648" w:rsidP="00DD2648">
      <w:pPr>
        <w:spacing w:after="0" w:line="240" w:lineRule="auto"/>
        <w:jc w:val="center"/>
        <w:rPr>
          <w:rFonts w:ascii="Acumin Pro" w:hAnsi="Acumin Pro"/>
          <w:b/>
          <w:bCs/>
        </w:rPr>
      </w:pPr>
      <w:r w:rsidRPr="00DD2648">
        <w:rPr>
          <w:rFonts w:ascii="Acumin Pro" w:hAnsi="Acumin Pro"/>
          <w:b/>
          <w:bCs/>
        </w:rPr>
        <w:t>OPIS PRZEDMIOTU ZAMÓWIENIA</w:t>
      </w:r>
    </w:p>
    <w:p w:rsidR="009C3B28" w:rsidRPr="00DD2648" w:rsidRDefault="009C3B28" w:rsidP="00DD2648">
      <w:pPr>
        <w:spacing w:after="0" w:line="240" w:lineRule="auto"/>
        <w:jc w:val="center"/>
        <w:rPr>
          <w:rFonts w:ascii="Acumin Pro" w:hAnsi="Acumin Pro"/>
          <w:b/>
          <w:bCs/>
        </w:rPr>
      </w:pPr>
    </w:p>
    <w:p w:rsidR="009C3B28" w:rsidRDefault="009C3B28" w:rsidP="009C3B28">
      <w:pPr>
        <w:pStyle w:val="Akapitzlist"/>
        <w:numPr>
          <w:ilvl w:val="0"/>
          <w:numId w:val="5"/>
        </w:numPr>
        <w:spacing w:after="0" w:line="240" w:lineRule="auto"/>
        <w:ind w:left="0" w:hanging="283"/>
        <w:jc w:val="both"/>
        <w:rPr>
          <w:rFonts w:ascii="Acumin Pro" w:hAnsi="Acumin Pro" w:cstheme="minorHAnsi"/>
          <w:b/>
          <w:sz w:val="18"/>
          <w:szCs w:val="18"/>
        </w:rPr>
      </w:pPr>
      <w:r w:rsidRPr="007673A2">
        <w:rPr>
          <w:rFonts w:ascii="Acumin Pro" w:hAnsi="Acumin Pro" w:cstheme="minorHAnsi"/>
          <w:b/>
          <w:sz w:val="18"/>
          <w:szCs w:val="18"/>
        </w:rPr>
        <w:t xml:space="preserve">Wymiana agregatu  zapewniającego chłód w pomieszczeniach oraz galeriach na górnych kondygnacjach </w:t>
      </w:r>
      <w:r w:rsidR="00AF25D5">
        <w:rPr>
          <w:rFonts w:ascii="Acumin Pro" w:hAnsi="Acumin Pro" w:cstheme="minorHAnsi"/>
          <w:b/>
          <w:sz w:val="18"/>
          <w:szCs w:val="18"/>
        </w:rPr>
        <w:t>g</w:t>
      </w:r>
      <w:r w:rsidRPr="007673A2">
        <w:rPr>
          <w:rFonts w:ascii="Acumin Pro" w:hAnsi="Acumin Pro" w:cstheme="minorHAnsi"/>
          <w:b/>
          <w:sz w:val="18"/>
          <w:szCs w:val="18"/>
        </w:rPr>
        <w:t xml:space="preserve">machu </w:t>
      </w:r>
      <w:r w:rsidR="00AF25D5">
        <w:rPr>
          <w:rFonts w:ascii="Acumin Pro" w:hAnsi="Acumin Pro" w:cstheme="minorHAnsi"/>
          <w:b/>
          <w:sz w:val="18"/>
          <w:szCs w:val="18"/>
        </w:rPr>
        <w:t xml:space="preserve">głównego </w:t>
      </w:r>
      <w:r w:rsidRPr="007673A2">
        <w:rPr>
          <w:rFonts w:ascii="Acumin Pro" w:hAnsi="Acumin Pro" w:cstheme="minorHAnsi"/>
          <w:b/>
          <w:sz w:val="18"/>
          <w:szCs w:val="18"/>
        </w:rPr>
        <w:t>Muzeum Narodowego w Poznaniu</w:t>
      </w:r>
      <w:r w:rsidR="00AF25D5">
        <w:rPr>
          <w:rFonts w:ascii="Acumin Pro" w:hAnsi="Acumin Pro" w:cstheme="minorHAnsi"/>
          <w:b/>
          <w:sz w:val="18"/>
          <w:szCs w:val="18"/>
        </w:rPr>
        <w:t xml:space="preserve"> przy Al. Marcinkowskiego 9</w:t>
      </w:r>
      <w:bookmarkStart w:id="0" w:name="_GoBack"/>
      <w:bookmarkEnd w:id="0"/>
      <w:r w:rsidRPr="007673A2">
        <w:rPr>
          <w:rFonts w:ascii="Acumin Pro" w:hAnsi="Acumin Pro" w:cstheme="minorHAnsi"/>
          <w:b/>
          <w:sz w:val="18"/>
          <w:szCs w:val="18"/>
        </w:rPr>
        <w:t xml:space="preserve">. </w:t>
      </w:r>
    </w:p>
    <w:p w:rsidR="009C3B28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b/>
          <w:sz w:val="18"/>
          <w:szCs w:val="18"/>
        </w:rPr>
      </w:pPr>
    </w:p>
    <w:p w:rsidR="009C3B28" w:rsidRPr="00BB6DB6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B6DB6">
        <w:rPr>
          <w:rFonts w:ascii="Acumin Pro" w:hAnsi="Acumin Pro" w:cstheme="minorHAnsi"/>
          <w:sz w:val="18"/>
          <w:szCs w:val="18"/>
          <w:u w:val="single"/>
        </w:rPr>
        <w:t>Zakres prac objętych przedmiotem zamówienia: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 utylizacj</w:t>
      </w:r>
      <w:r>
        <w:rPr>
          <w:rFonts w:ascii="Acumin Pro" w:hAnsi="Acumin Pro" w:cstheme="minorHAnsi"/>
          <w:sz w:val="18"/>
          <w:szCs w:val="18"/>
        </w:rPr>
        <w:t>a</w:t>
      </w:r>
      <w:r w:rsidRPr="007673A2">
        <w:rPr>
          <w:rFonts w:ascii="Acumin Pro" w:hAnsi="Acumin Pro" w:cstheme="minorHAnsi"/>
          <w:sz w:val="18"/>
          <w:szCs w:val="18"/>
        </w:rPr>
        <w:t xml:space="preserve"> istniejącego agregatu chłodzącego</w:t>
      </w:r>
      <w:r w:rsidR="00084DD0">
        <w:rPr>
          <w:rFonts w:ascii="Acumin Pro" w:hAnsi="Acumin Pro" w:cstheme="minorHAnsi"/>
          <w:sz w:val="18"/>
          <w:szCs w:val="18"/>
        </w:rPr>
        <w:t xml:space="preserve">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Clivet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WSAT-XSC220H, waga około 4500 kg, rok produkcji 2007 wraz z czynnikiem chłodniczym R410A. Po demontażu należy przedstawić Zamawiającemu kartę przekazania odpadu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istniejącego modułu hydraulicznego i jego utylizacja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Usunięcie glikolu z instalacji wody lodowej i jego utylizacja, przepłukanie istniejącej instalacji wody lodowej, zalanie nowym glikolem etylenowym o stężeniu 35%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Odzyskanie freonu znajdującego się w obecnym agregacie celem ponownego wykorzystania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Sprawdzenie nośności istniejącej podkonstrukcji, dostosowanie jej do rozmiarów i wagi nowego agregatu wraz </w:t>
      </w:r>
      <w:r>
        <w:rPr>
          <w:rFonts w:ascii="Acumin Pro" w:hAnsi="Acumin Pro" w:cstheme="minorHAnsi"/>
          <w:sz w:val="18"/>
          <w:szCs w:val="18"/>
        </w:rPr>
        <w:t>z zabezpieczeniem antykorozyjnym.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Montaż nowego agregatu chłodzącego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Podłączenie istniejących rurociągów stalowych do nowego agregatu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Izolacja otuliną kauczukową o grubości zgodnej z „Warunkami technicznymi jakim powinny odpowiadać budynki i ich usytuowanie” wraz z montażem nowych płaszczy z blachy ocynkowanej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Wykonanie pomiarów elektrycznych ochronnych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Uruchomienie i regulacja agregatu wody lod</w:t>
      </w:r>
      <w:r>
        <w:rPr>
          <w:rFonts w:ascii="Acumin Pro" w:hAnsi="Acumin Pro" w:cstheme="minorHAnsi"/>
          <w:sz w:val="18"/>
          <w:szCs w:val="18"/>
        </w:rPr>
        <w:t>owej wraz z przeprowadzeniem 48-</w:t>
      </w:r>
      <w:r w:rsidRPr="007673A2">
        <w:rPr>
          <w:rFonts w:ascii="Acumin Pro" w:hAnsi="Acumin Pro" w:cstheme="minorHAnsi"/>
          <w:sz w:val="18"/>
          <w:szCs w:val="18"/>
        </w:rPr>
        <w:t>godzinnej próby potwierdzonej protokołem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Przeszkolenie personelu technicznego w zakresie obsługi urządzenia</w:t>
      </w:r>
      <w:r>
        <w:rPr>
          <w:rFonts w:ascii="Acumin Pro" w:hAnsi="Acumin Pro" w:cstheme="minorHAnsi"/>
          <w:sz w:val="18"/>
          <w:szCs w:val="18"/>
        </w:rPr>
        <w:t>.</w:t>
      </w:r>
    </w:p>
    <w:p w:rsidR="009C3B28" w:rsidRPr="00C93C08" w:rsidRDefault="009C3B28" w:rsidP="009C3B28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301AE8">
        <w:rPr>
          <w:rFonts w:ascii="Acumin Pro" w:hAnsi="Acumin Pro" w:cstheme="minorHAnsi"/>
          <w:sz w:val="18"/>
          <w:szCs w:val="18"/>
        </w:rPr>
        <w:t>Przeglądy konserwacyjne w okresie gwarancji. Częstotliwość wykonywania przeglądów zgodnie z DTR urządzeń, jednak nie rzadziej niż co 6 miesięcy</w:t>
      </w:r>
      <w:r w:rsidRPr="009C3B28">
        <w:rPr>
          <w:rFonts w:ascii="Acumin Pro" w:hAnsi="Acumin Pro" w:cstheme="minorHAnsi"/>
          <w:sz w:val="18"/>
          <w:szCs w:val="18"/>
          <w:highlight w:val="lightGray"/>
        </w:rPr>
        <w:t>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Całodobowa opieka serwisowa nad agregatem chłodniczym i osprzętem w okresie gwarancji. Reakcja na zgłoszoną awarię </w:t>
      </w:r>
      <w:r w:rsidRPr="00301AE8">
        <w:rPr>
          <w:rFonts w:ascii="Acumin Pro" w:hAnsi="Acumin Pro" w:cstheme="minorHAnsi"/>
          <w:sz w:val="18"/>
          <w:szCs w:val="18"/>
        </w:rPr>
        <w:t>zgodnie z deklaracją z zał. 2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 stronie Wykonawcy leży zdobycie decyzji  UDT dopuszczającej zainstalowany agregat do użytkowania. Wykonawca  przekazuje decyzję UDT Zamawiającemu.</w:t>
      </w:r>
    </w:p>
    <w:p w:rsidR="009C3B28" w:rsidRPr="007673A2" w:rsidRDefault="009C3B28" w:rsidP="009C3B2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Opracowanie i uzgodnienie z jednostkami odpowiedzialnymi za organizację ruchu drogowego na </w:t>
      </w:r>
      <w:r>
        <w:rPr>
          <w:rFonts w:ascii="Acumin Pro" w:hAnsi="Acumin Pro" w:cstheme="minorHAnsi"/>
          <w:sz w:val="18"/>
          <w:szCs w:val="18"/>
        </w:rPr>
        <w:t>Al.</w:t>
      </w:r>
      <w:r w:rsidRPr="007673A2">
        <w:rPr>
          <w:rFonts w:ascii="Acumin Pro" w:hAnsi="Acumin Pro" w:cstheme="minorHAnsi"/>
          <w:sz w:val="18"/>
          <w:szCs w:val="18"/>
        </w:rPr>
        <w:t xml:space="preserve"> Marcinkowskiego 9 planu montażu i demontażu agregatu, w tym planu organizacji ruchu związanego z zajęciem pasa drogowego przez dźwig.</w:t>
      </w:r>
    </w:p>
    <w:p w:rsidR="009C3B28" w:rsidRPr="007673A2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  <w:u w:val="single"/>
        </w:rPr>
        <w:t>Opis stanu istniejącego</w:t>
      </w:r>
      <w:r>
        <w:rPr>
          <w:rFonts w:ascii="Acumin Pro" w:hAnsi="Acumin Pro" w:cstheme="minorHAnsi"/>
          <w:sz w:val="18"/>
          <w:szCs w:val="18"/>
          <w:u w:val="single"/>
        </w:rPr>
        <w:t>:</w:t>
      </w:r>
    </w:p>
    <w:p w:rsidR="009C3B28" w:rsidRPr="00B52C3F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Obecnie zamontowany agregat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Clivet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WSAT-XSC220H znajduje się na płaskiej części dachu Gmachu Głównego Muzeum Narodowego w Poznaniu, na wysokości około 5 metrów od poziomu terenu przyległego, w odległości około 10 metrów od skrajnej ściany budynku. Posadowienie na stalowej ramie nośnej.</w:t>
      </w:r>
    </w:p>
    <w:p w:rsidR="009C3B28" w:rsidRPr="00BB6DB6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Urządzenie zasila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klimakonwektory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oraz centrale klimatyzacyjne</w:t>
      </w:r>
      <w:r>
        <w:rPr>
          <w:rFonts w:ascii="Acumin Pro" w:hAnsi="Acumin Pro" w:cstheme="minorHAnsi"/>
          <w:sz w:val="18"/>
          <w:szCs w:val="18"/>
        </w:rPr>
        <w:t xml:space="preserve"> </w:t>
      </w:r>
      <w:r w:rsidRPr="007673A2">
        <w:rPr>
          <w:rFonts w:ascii="Acumin Pro" w:hAnsi="Acumin Pro" w:cstheme="minorHAnsi"/>
          <w:sz w:val="18"/>
          <w:szCs w:val="18"/>
        </w:rPr>
        <w:t>na górnych kondygnacjach Gmachu Głównego. Parametry dostarczanego czynnika chłodniczego pozwalają na schłodzenie oraz osuszenie powietrza w pomieszczeniach szczególnie wrażliwych na zmiany warunków klimatycznych.</w:t>
      </w:r>
    </w:p>
    <w:p w:rsidR="009C3B28" w:rsidRPr="007673A2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Pr="00B52C3F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52C3F">
        <w:rPr>
          <w:rFonts w:ascii="Acumin Pro" w:hAnsi="Acumin Pro" w:cstheme="minorHAnsi"/>
          <w:sz w:val="18"/>
          <w:szCs w:val="18"/>
          <w:u w:val="single"/>
        </w:rPr>
        <w:t>Wymagane parametry nowego agregatu chłodzącego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Moc chłodnicza nie mniejsza niż 440kW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Czynnik chłodniczy R32 lub R410A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Minimalna ilość obiegów chłodniczych – 2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Typ sprężarki –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scroll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>.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Ilość sprężarek – 6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Ilość wentylatorów – 8 lub 10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Temperatura glikolu na wlocie 7˚C temperatura glikolu na wylocie 2˚C przy temperaturze obliczeniowej zewnętrznej nie niższej niż 38˚C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Stężenie glikolu etylenowego 35%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Współczynnik EER nie mniejszy niż 2,20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Wydajność pompy obiegowej nie mniejsza niż 24 l/s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Masa robocza urządzenia nie większa niż  5300 kg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Poziom głośności nie większy niż 70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dB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>(A)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Pobór mocy elektrycznej nie większy niż 200 kW przy parametrach obliczeniowych</w:t>
      </w:r>
    </w:p>
    <w:p w:rsidR="009C3B28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Pr="00B52C3F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52C3F">
        <w:rPr>
          <w:rFonts w:ascii="Acumin Pro" w:hAnsi="Acumin Pro" w:cstheme="minorHAnsi"/>
          <w:sz w:val="18"/>
          <w:szCs w:val="18"/>
          <w:u w:val="single"/>
        </w:rPr>
        <w:t>Nowy agregat musi być wyposażony w: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 hydrauliczny wyposażony w pompę obiegową, naczynie zbiorcze, zawory bezpieczeństwa, zawory odcinające.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Zbiornik buforowy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proofErr w:type="spellStart"/>
      <w:r w:rsidRPr="007673A2">
        <w:rPr>
          <w:rFonts w:ascii="Acumin Pro" w:hAnsi="Acumin Pro" w:cstheme="minorHAnsi"/>
          <w:sz w:val="18"/>
          <w:szCs w:val="18"/>
        </w:rPr>
        <w:t>Wibroizolatory</w:t>
      </w:r>
      <w:proofErr w:type="spellEnd"/>
    </w:p>
    <w:p w:rsidR="009C3B28" w:rsidRPr="007673A2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 komunikacji MODBUS</w:t>
      </w:r>
    </w:p>
    <w:p w:rsidR="009C3B28" w:rsidRPr="007673A2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Pr="007673A2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Pr="007673A2" w:rsidRDefault="009C3B28" w:rsidP="009C3B2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9C3B28" w:rsidRPr="009C3B28" w:rsidRDefault="009C3B28" w:rsidP="009C3B28">
      <w:pPr>
        <w:pStyle w:val="Akapitzlist"/>
        <w:numPr>
          <w:ilvl w:val="0"/>
          <w:numId w:val="5"/>
        </w:numPr>
        <w:spacing w:after="0" w:line="240" w:lineRule="auto"/>
        <w:ind w:left="0" w:hanging="283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Dostawa nowego serwera oraz stacji systemu BMS wraz z wykonaniem aktualizacji (</w:t>
      </w:r>
      <w:proofErr w:type="spellStart"/>
      <w:r w:rsidRPr="009C3B2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upgradu</w:t>
      </w:r>
      <w:proofErr w:type="spellEnd"/>
      <w:r w:rsidRPr="009C3B2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) istniejącej licencji systemu BMS Honeywell EBI R430 o numerze 98458 do najnowszej dostępnej wersji systemu Honeywell EBI R600 (lub nowszej) oraz rozszerzenie tej licencji o dodatkowe 500 DP.</w:t>
      </w:r>
    </w:p>
    <w:p w:rsidR="009C3B28" w:rsidRPr="007673A2" w:rsidRDefault="009C3B28" w:rsidP="009C3B28">
      <w:pPr>
        <w:pStyle w:val="Akapitzlist"/>
        <w:spacing w:after="0" w:line="240" w:lineRule="auto"/>
        <w:ind w:left="0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  <w:t>W ramach zadania Wykonawca powinien: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Dokonać przeniesienia kompletnej istniejącej bazy danych do nowej licencji, bez jakiejkolwiek utraty danych, z zachowaniem wszystkich zainstalowanych interfejsów,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Dokonać</w:t>
      </w:r>
      <w:r w:rsidR="00084DD0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</w:t>
      </w: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przeniesienia/zaktualizowania systemu grafik obsługujących wizualizację procesów,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Dokonać przeniesienia struktury trendów,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Wykonać integrację dodatkowych sygnałów z zewnętrznego systemu (Stary Gmach) w oparciu o protokół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BACnet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IP (dostawa, konfiguracja, uruchomienie interfejsu Siemens pxg3.l) oraz wykonać grafiki wizualizacyjne wraz z konfiguracją trendów i raportów dla nowo integrowanych punktów.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Dostarczyć i skonfigurować nowy serwer systemu BMS, zgodny z wymaganymi parametrami dla nowej wersji systemu Honeywell EBI R600 lub nowszej (specyfikacja minimalnych parametrów poniżej; ostateczna weryfikacja sprzętu wymaga uzgodnienia z producentem oprogramowania, który gwarantuje poprawność funkcjonowania systemu sprzętowo-programowego), na którym zostanie zainstalowana zaktualizowana licencja. Serwer systemu BMS będzie pełnił jednocześnie rolę stacji operatorskiej systemu BMS.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Wyposażyć serwer – obok aktualizowanej licencji Honeywell EBI - w oprogramowanie Windows, MS Office (Excel).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Dostarczyć i skonfigurować stację systemu EBI R600 lub nowszej, zgodną z wymaganymi parametrami dla tej wersji systemu, wraz oprogramowaniem do automatycznego backupu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Acronis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(z min 3 letnią subskrypcją)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Przeprowadzić dwukrotnie szkolenie z obsługi systemu dla osób wskazanych przez Zamawiającego w terminie obustronnie uzgodnionym, przed podpisaniem protokołu odbioru. </w:t>
      </w:r>
    </w:p>
    <w:p w:rsidR="009C3B28" w:rsidRPr="009C3B28" w:rsidRDefault="009C3B28" w:rsidP="009C3B28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Posiadać wsparcie producenta systemu BMS, który jest modernizowany oraz aktualny certyfikat autoryzacji obejmujący następujące systemy:</w:t>
      </w:r>
    </w:p>
    <w:p w:rsidR="009C3B28" w:rsidRPr="009C3B28" w:rsidRDefault="009C3B28" w:rsidP="009C3B28">
      <w:pPr>
        <w:pStyle w:val="Akapitzlist"/>
        <w:spacing w:after="0" w:line="240" w:lineRule="auto"/>
        <w:ind w:left="0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a) wszystkich wersji systemu EBI, łącznie z najnowszą wersję EBI R600, 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b) XL5000 (obsługa integrowanych sterowników obiektowych) – wraz z aplikacją programową Honeywell CARE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c) Comfort Point Open (obsługa integrowanych sterowników obiektowych) – wraz z aplikacją programową Honeywell CPO Studio.</w:t>
      </w:r>
    </w:p>
    <w:p w:rsidR="009C3B28" w:rsidRPr="007673A2" w:rsidRDefault="009C3B28" w:rsidP="009C3B28">
      <w:pPr>
        <w:spacing w:after="0" w:line="240" w:lineRule="auto"/>
        <w:rPr>
          <w:rFonts w:ascii="Acumin Pro" w:hAnsi="Acumin Pro" w:cstheme="minorHAnsi"/>
          <w:sz w:val="18"/>
          <w:szCs w:val="18"/>
        </w:rPr>
      </w:pPr>
    </w:p>
    <w:p w:rsidR="009C3B28" w:rsidRDefault="009C3B28" w:rsidP="009C3B28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  <w:r w:rsidRPr="007673A2">
        <w:rPr>
          <w:rFonts w:ascii="Acumin Pro" w:hAnsi="Acumin Pro" w:cs="Times New Roman"/>
          <w:sz w:val="18"/>
          <w:szCs w:val="18"/>
          <w:u w:val="single"/>
        </w:rPr>
        <w:t xml:space="preserve">Specyfikacja </w:t>
      </w:r>
      <w:r>
        <w:rPr>
          <w:rFonts w:ascii="Acumin Pro" w:hAnsi="Acumin Pro" w:cs="Times New Roman"/>
          <w:sz w:val="18"/>
          <w:szCs w:val="18"/>
          <w:u w:val="single"/>
        </w:rPr>
        <w:t>serwera BMS: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Komputer według konfiguracji spełniającej wymagania serwera systemu EBI </w:t>
      </w:r>
      <w:bookmarkStart w:id="1" w:name="_Hlk79701613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w dostarczanej wersji licencji</w:t>
      </w:r>
      <w:bookmarkEnd w:id="1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, o parametrach nie niższych niż:</w:t>
      </w:r>
    </w:p>
    <w:p w:rsidR="009C3B28" w:rsidRPr="00256F6C" w:rsidRDefault="009C3B28" w:rsidP="009C3B28">
      <w:pPr>
        <w:spacing w:after="0" w:line="240" w:lineRule="auto"/>
        <w:ind w:left="153" w:hanging="153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</w:t>
      </w:r>
      <w:bookmarkStart w:id="2" w:name="_Hlk79733009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Procesor wielordzeniowy  o architekturze x86 obsługujący aplikacje 64, tj. osiągający minimum 14200 pkt w rankingu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PassMark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dostępnym na stronie: https://www.cpubenchmark.net/cpu_list.php (lub równoważny) (na dzień 07.06.2021), minimum 10 rdzeni, liczba wątków 20, taktowanie procesora 2,20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Ghz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, tryb turbo 3,20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Ghz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procesor cache 13,75 MB.</w:t>
      </w:r>
    </w:p>
    <w:bookmarkEnd w:id="2"/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Pamięć RAM- min. 16 GB RDIMM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System RAID-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Perc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H330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Dyski twarde- min. 2x 480GB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SSD</w:t>
      </w:r>
      <w:r>
        <w:rPr>
          <w:rFonts w:ascii="Acumin Pro" w:eastAsia="Times New Roman" w:hAnsi="Acumin Pro" w:cstheme="minorHAnsi"/>
          <w:sz w:val="18"/>
          <w:szCs w:val="18"/>
          <w:lang w:eastAsia="pl-PL"/>
        </w:rPr>
        <w:t>w</w:t>
      </w:r>
      <w:proofErr w:type="spellEnd"/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Zintegrowana karta graficzna 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Komunikacja- karta sieciowa Dual Port 1Gb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System operacyjny– Windows Server 2019 z opcj</w:t>
      </w:r>
      <w:r>
        <w:rPr>
          <w:rFonts w:ascii="Acumin Pro" w:eastAsia="Times New Roman" w:hAnsi="Acumin Pro" w:cstheme="minorHAnsi"/>
          <w:sz w:val="18"/>
          <w:szCs w:val="18"/>
          <w:lang w:eastAsia="pl-PL"/>
        </w:rPr>
        <w:t>ą</w:t>
      </w: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DOWNGRADE do Windows Server 2016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Klawiatura i mysz- QWERTY, obsługująca standardowy język programisty, numeryczna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val="en-US"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 xml:space="preserve">-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>Gwarancja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 xml:space="preserve">- min. 36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>miesięcy</w:t>
      </w:r>
      <w:proofErr w:type="spellEnd"/>
    </w:p>
    <w:p w:rsid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val="en-US"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 xml:space="preserve">-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>pakiet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 xml:space="preserve"> MS Office (Excel) 2019 (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>Home&amp;Business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val="en-US" w:eastAsia="pl-PL"/>
        </w:rPr>
        <w:t>)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val="en-US" w:eastAsia="pl-PL"/>
        </w:rPr>
      </w:pPr>
    </w:p>
    <w:p w:rsidR="009C3B28" w:rsidRDefault="009C3B28" w:rsidP="009C3B28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  <w:r w:rsidRPr="007673A2">
        <w:rPr>
          <w:rFonts w:ascii="Acumin Pro" w:hAnsi="Acumin Pro" w:cs="Times New Roman"/>
          <w:sz w:val="18"/>
          <w:szCs w:val="18"/>
          <w:u w:val="single"/>
        </w:rPr>
        <w:t xml:space="preserve">Specyfikacja </w:t>
      </w:r>
      <w:r>
        <w:rPr>
          <w:rFonts w:ascii="Acumin Pro" w:hAnsi="Acumin Pro" w:cs="Times New Roman"/>
          <w:sz w:val="18"/>
          <w:szCs w:val="18"/>
          <w:u w:val="single"/>
        </w:rPr>
        <w:t>Monitora: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Monitor, spełni</w:t>
      </w:r>
      <w:r>
        <w:rPr>
          <w:rFonts w:ascii="Acumin Pro" w:eastAsia="Times New Roman" w:hAnsi="Acumin Pro" w:cstheme="minorHAnsi"/>
          <w:sz w:val="18"/>
          <w:szCs w:val="18"/>
          <w:lang w:eastAsia="pl-PL"/>
        </w:rPr>
        <w:t>a</w:t>
      </w: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jący wymagania: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Przekątna ekranu- min. 23,8”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Rodzaj matrycy- LED, IPS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Typ ekranu- płaski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Rozdzieloczść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ekranu- min. 1920x1080 (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FullHD</w:t>
      </w:r>
      <w:proofErr w:type="spellEnd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)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Format obrazu- 16:9</w:t>
      </w:r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Częstotliwość odświeżania ekranu- min. 60 </w:t>
      </w:r>
      <w:proofErr w:type="spellStart"/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Hz</w:t>
      </w:r>
      <w:proofErr w:type="spellEnd"/>
    </w:p>
    <w:p w:rsidR="009C3B28" w:rsidRPr="00256F6C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Jasność- min. 200 cd/m2</w:t>
      </w:r>
    </w:p>
    <w:p w:rsid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256F6C">
        <w:rPr>
          <w:rFonts w:ascii="Acumin Pro" w:eastAsia="Times New Roman" w:hAnsi="Acumin Pro" w:cstheme="minorHAnsi"/>
          <w:sz w:val="18"/>
          <w:szCs w:val="18"/>
          <w:lang w:eastAsia="pl-PL"/>
        </w:rPr>
        <w:t>- Gwarancja- min.  36 miesięcy</w:t>
      </w:r>
    </w:p>
    <w:p w:rsid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</w:p>
    <w:p w:rsidR="009C3B28" w:rsidRPr="009C3B28" w:rsidRDefault="009C3B28" w:rsidP="009C3B28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  <w:r w:rsidRPr="009C3B28">
        <w:rPr>
          <w:rFonts w:ascii="Acumin Pro" w:hAnsi="Acumin Pro" w:cs="Times New Roman"/>
          <w:sz w:val="18"/>
          <w:szCs w:val="18"/>
          <w:u w:val="single"/>
        </w:rPr>
        <w:t>Specyfikacja stacji BMS: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Stacja operatorska – komputer według konfiguracji spełniającej wymagania stacji systemu EBI w dostarczanej wersji licencji – komputer typu mini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tower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o parametrach nie niższych niż: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Procesor wielordzeniowy  o architekturze x86 obsługujący aplikacje 64bit, minimum 8 rdzeni, liczba wątków min. 16, taktowanie procesora min. 2,20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Ghz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, tryb turbo min. 3,20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Ghz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procesor cache min. 13,75 MB.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- Pamięć RAM: minimum 16 GB RAM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- Dysk twardy SSD o pojemności co najmniej 512 GB w RAID-1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lastRenderedPageBreak/>
        <w:t>- System operacyjny: Windows 10 Pro lub Enterprise</w:t>
      </w:r>
    </w:p>
    <w:p w:rsidR="009C3B28" w:rsidRPr="009C3B28" w:rsidRDefault="009C3B28" w:rsidP="009C3B28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- Oprogramowanie </w:t>
      </w:r>
      <w:proofErr w:type="spellStart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>Acronis</w:t>
      </w:r>
      <w:proofErr w:type="spellEnd"/>
      <w:r w:rsidRPr="009C3B2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do automatycznego Backupu serwera (subskrypcja na  3 lata)</w:t>
      </w:r>
    </w:p>
    <w:p w:rsidR="00DD2648" w:rsidRDefault="00DD2648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</w:p>
    <w:p w:rsidR="00DD2648" w:rsidRPr="007673A2" w:rsidRDefault="00DD2648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</w:p>
    <w:sectPr w:rsidR="00DD2648" w:rsidRPr="007673A2" w:rsidSect="007673A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05927"/>
    <w:multiLevelType w:val="hybridMultilevel"/>
    <w:tmpl w:val="B3FC7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437C"/>
    <w:multiLevelType w:val="hybridMultilevel"/>
    <w:tmpl w:val="4F0E2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27DD"/>
    <w:multiLevelType w:val="hybridMultilevel"/>
    <w:tmpl w:val="EB18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43972"/>
    <w:multiLevelType w:val="hybridMultilevel"/>
    <w:tmpl w:val="44722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FC7B09"/>
    <w:multiLevelType w:val="hybridMultilevel"/>
    <w:tmpl w:val="1BF84B72"/>
    <w:numStyleLink w:val="Kreski0"/>
  </w:abstractNum>
  <w:abstractNum w:abstractNumId="6" w15:restartNumberingAfterBreak="0">
    <w:nsid w:val="37C01163"/>
    <w:multiLevelType w:val="hybridMultilevel"/>
    <w:tmpl w:val="33521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E2E19"/>
    <w:multiLevelType w:val="hybridMultilevel"/>
    <w:tmpl w:val="50B46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568D9"/>
    <w:multiLevelType w:val="hybridMultilevel"/>
    <w:tmpl w:val="3D0C6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639FE"/>
    <w:multiLevelType w:val="hybridMultilevel"/>
    <w:tmpl w:val="1BF84B72"/>
    <w:styleLink w:val="Kreski0"/>
    <w:lvl w:ilvl="0" w:tplc="BFAE09B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1" w:tplc="E004AD2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2" w:tplc="03FE83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3" w:tplc="C066A2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4" w:tplc="ECDC6C1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0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5" w:tplc="436E42C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6" w:tplc="9572D71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7" w:tplc="902A41F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8" w:tplc="ABB25D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</w:abstractNum>
  <w:abstractNum w:abstractNumId="11" w15:restartNumberingAfterBreak="0">
    <w:nsid w:val="64671118"/>
    <w:multiLevelType w:val="hybridMultilevel"/>
    <w:tmpl w:val="21CC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B26C7C"/>
    <w:multiLevelType w:val="hybridMultilevel"/>
    <w:tmpl w:val="36C6A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9"/>
  </w:num>
  <w:num w:numId="5">
    <w:abstractNumId w:val="14"/>
  </w:num>
  <w:num w:numId="6">
    <w:abstractNumId w:val="5"/>
  </w:num>
  <w:num w:numId="7">
    <w:abstractNumId w:val="1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</w:num>
  <w:num w:numId="15">
    <w:abstractNumId w:val="2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FF9"/>
    <w:rsid w:val="0000412C"/>
    <w:rsid w:val="00084DD0"/>
    <w:rsid w:val="00095486"/>
    <w:rsid w:val="00155810"/>
    <w:rsid w:val="00166A27"/>
    <w:rsid w:val="00172A67"/>
    <w:rsid w:val="00250AE3"/>
    <w:rsid w:val="002D5669"/>
    <w:rsid w:val="00301AE8"/>
    <w:rsid w:val="00332F2F"/>
    <w:rsid w:val="003719D9"/>
    <w:rsid w:val="00381ABC"/>
    <w:rsid w:val="00383F87"/>
    <w:rsid w:val="00394CBD"/>
    <w:rsid w:val="003B4BC5"/>
    <w:rsid w:val="00476698"/>
    <w:rsid w:val="00521410"/>
    <w:rsid w:val="006503F7"/>
    <w:rsid w:val="0067327F"/>
    <w:rsid w:val="006864FE"/>
    <w:rsid w:val="007673A2"/>
    <w:rsid w:val="00780267"/>
    <w:rsid w:val="00846F9D"/>
    <w:rsid w:val="00852825"/>
    <w:rsid w:val="00853FF9"/>
    <w:rsid w:val="008B1E45"/>
    <w:rsid w:val="00921EDD"/>
    <w:rsid w:val="00965260"/>
    <w:rsid w:val="009C3B28"/>
    <w:rsid w:val="009E2F98"/>
    <w:rsid w:val="00A933B0"/>
    <w:rsid w:val="00AA6A92"/>
    <w:rsid w:val="00AF25D5"/>
    <w:rsid w:val="00AF45E2"/>
    <w:rsid w:val="00B57259"/>
    <w:rsid w:val="00B67008"/>
    <w:rsid w:val="00BB6DB6"/>
    <w:rsid w:val="00BC7A4F"/>
    <w:rsid w:val="00BD582B"/>
    <w:rsid w:val="00C144B6"/>
    <w:rsid w:val="00C15BDF"/>
    <w:rsid w:val="00C52B39"/>
    <w:rsid w:val="00C71BEF"/>
    <w:rsid w:val="00C93C08"/>
    <w:rsid w:val="00CA26E0"/>
    <w:rsid w:val="00CB64E2"/>
    <w:rsid w:val="00CF4FD6"/>
    <w:rsid w:val="00D41932"/>
    <w:rsid w:val="00DD2648"/>
    <w:rsid w:val="00DF03BE"/>
    <w:rsid w:val="00E24AAA"/>
    <w:rsid w:val="00EE6853"/>
    <w:rsid w:val="00F13AC2"/>
    <w:rsid w:val="00FC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C6F7C"/>
  <w15:docId w15:val="{F8888083-D29F-44BB-A1BC-163E9828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1410"/>
    <w:pPr>
      <w:ind w:left="720"/>
      <w:contextualSpacing/>
    </w:pPr>
  </w:style>
  <w:style w:type="paragraph" w:customStyle="1" w:styleId="TreA">
    <w:name w:val="Treść A"/>
    <w:rsid w:val="00846F9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846F9D"/>
    <w:pPr>
      <w:numPr>
        <w:numId w:val="7"/>
      </w:numPr>
    </w:pPr>
  </w:style>
  <w:style w:type="paragraph" w:customStyle="1" w:styleId="MNPTre">
    <w:name w:val="MNP Treść"/>
    <w:rsid w:val="007673A2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  <w:style w:type="table" w:styleId="Tabela-Siatka">
    <w:name w:val="Table Grid"/>
    <w:basedOn w:val="Standardowy"/>
    <w:uiPriority w:val="59"/>
    <w:rsid w:val="00EE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1109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Gross</dc:creator>
  <cp:lastModifiedBy>Agnieszka</cp:lastModifiedBy>
  <cp:revision>10</cp:revision>
  <dcterms:created xsi:type="dcterms:W3CDTF">2021-07-06T07:22:00Z</dcterms:created>
  <dcterms:modified xsi:type="dcterms:W3CDTF">2021-08-16T08:06:00Z</dcterms:modified>
</cp:coreProperties>
</file>