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0C6" w:rsidRDefault="00C310C6" w:rsidP="00C310C6">
      <w:pPr>
        <w:jc w:val="right"/>
      </w:pPr>
      <w:r>
        <w:t xml:space="preserve">Załącznik nr 1 do umowy </w:t>
      </w:r>
    </w:p>
    <w:p w:rsidR="00C310C6" w:rsidRDefault="00C310C6" w:rsidP="00C310C6">
      <w:r>
        <w:t>Szczegółowy zakres prac:</w:t>
      </w:r>
    </w:p>
    <w:p w:rsidR="00C310C6" w:rsidRPr="00C810DF" w:rsidRDefault="00C310C6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Zakres prac: </w:t>
      </w:r>
    </w:p>
    <w:p w:rsidR="00C310C6" w:rsidRPr="009D6A18" w:rsidRDefault="00C310C6" w:rsidP="00C310C6">
      <w:pPr>
        <w:pStyle w:val="Akapitzlist"/>
        <w:numPr>
          <w:ilvl w:val="0"/>
          <w:numId w:val="3"/>
        </w:numPr>
        <w:spacing w:line="276" w:lineRule="auto"/>
        <w:ind w:left="644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Pr="009D6A18">
        <w:rPr>
          <w:rFonts w:ascii="Acumin Pro" w:hAnsi="Acumin Pro"/>
          <w:sz w:val="20"/>
          <w:szCs w:val="20"/>
          <w:lang w:val="pl-PL"/>
        </w:rPr>
        <w:t xml:space="preserve">ymiana / wymiana wraz z konserwacją stolarki okiennej – 98 szt. </w:t>
      </w:r>
    </w:p>
    <w:p w:rsidR="00C310C6" w:rsidRPr="00C810DF" w:rsidRDefault="00C310C6" w:rsidP="00C310C6">
      <w:pPr>
        <w:pStyle w:val="Akapitzlist"/>
        <w:numPr>
          <w:ilvl w:val="0"/>
          <w:numId w:val="3"/>
        </w:numPr>
        <w:spacing w:line="276" w:lineRule="auto"/>
        <w:ind w:left="644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wymiana</w:t>
      </w:r>
      <w:r w:rsidRPr="00C810DF">
        <w:rPr>
          <w:rFonts w:ascii="Acumin Pro" w:hAnsi="Acumin Pro"/>
          <w:sz w:val="20"/>
          <w:szCs w:val="20"/>
          <w:lang w:val="pl-PL"/>
        </w:rPr>
        <w:t xml:space="preserve"> stolarki drzwiowej – 3 szt. </w:t>
      </w:r>
    </w:p>
    <w:p w:rsidR="00AC445A" w:rsidRDefault="00C310C6" w:rsidP="00AC445A">
      <w:pPr>
        <w:pStyle w:val="Akapitzlist"/>
        <w:numPr>
          <w:ilvl w:val="0"/>
          <w:numId w:val="3"/>
        </w:numPr>
        <w:spacing w:line="276" w:lineRule="auto"/>
        <w:ind w:left="644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konserwacja dwóch zewnętrznych sk</w:t>
      </w:r>
      <w:r w:rsidR="00AC445A">
        <w:rPr>
          <w:rFonts w:ascii="Acumin Pro" w:hAnsi="Acumin Pro"/>
          <w:sz w:val="20"/>
          <w:szCs w:val="20"/>
          <w:lang w:val="pl-PL"/>
        </w:rPr>
        <w:t xml:space="preserve">rzydeł i ościeżnicy jednego </w:t>
      </w:r>
      <w:proofErr w:type="spellStart"/>
      <w:r w:rsidR="00AC445A">
        <w:rPr>
          <w:rFonts w:ascii="Acumin Pro" w:hAnsi="Acumin Pro"/>
          <w:sz w:val="20"/>
          <w:szCs w:val="20"/>
          <w:lang w:val="pl-PL"/>
        </w:rPr>
        <w:t>okn</w:t>
      </w:r>
      <w:r w:rsidR="005921A5">
        <w:rPr>
          <w:rFonts w:ascii="Acumin Pro" w:hAnsi="Acumin Pro"/>
          <w:sz w:val="20"/>
          <w:szCs w:val="20"/>
          <w:lang w:val="pl-PL"/>
        </w:rPr>
        <w:t>ien</w:t>
      </w:r>
      <w:proofErr w:type="spellEnd"/>
      <w:r w:rsidR="005921A5">
        <w:rPr>
          <w:rFonts w:ascii="Acumin Pro" w:hAnsi="Acumin Pro"/>
          <w:sz w:val="20"/>
          <w:szCs w:val="20"/>
          <w:lang w:val="pl-PL"/>
        </w:rPr>
        <w:t>.</w:t>
      </w:r>
    </w:p>
    <w:p w:rsidR="005921A5" w:rsidRDefault="005921A5" w:rsidP="005921A5">
      <w:pPr>
        <w:pStyle w:val="Akapitzlist"/>
        <w:spacing w:line="276" w:lineRule="auto"/>
        <w:ind w:left="644"/>
        <w:rPr>
          <w:rFonts w:ascii="Acumin Pro" w:hAnsi="Acumin Pro"/>
          <w:sz w:val="20"/>
          <w:szCs w:val="20"/>
          <w:lang w:val="pl-PL"/>
        </w:rPr>
      </w:pPr>
    </w:p>
    <w:p w:rsidR="00AC445A" w:rsidRDefault="00AC445A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Pod pojęciem </w:t>
      </w:r>
      <w:r w:rsidR="005921A5">
        <w:rPr>
          <w:rFonts w:ascii="Acumin Pro" w:eastAsia="Arial Unicode MS" w:hAnsi="Acumin Pro"/>
          <w:sz w:val="20"/>
          <w:szCs w:val="20"/>
        </w:rPr>
        <w:t>wymiany stolarki okiennej i drzwiowej Zamawiający rozumie demontaż starych okien, wykonanie na wzór nowych oraz ich montaż.</w:t>
      </w:r>
    </w:p>
    <w:p w:rsidR="005921A5" w:rsidRDefault="005921A5" w:rsidP="005921A5">
      <w:pPr>
        <w:pStyle w:val="Tekstpodstawowy2"/>
        <w:spacing w:after="0" w:line="276" w:lineRule="auto"/>
        <w:ind w:left="284"/>
        <w:jc w:val="both"/>
        <w:rPr>
          <w:rFonts w:ascii="Acumin Pro" w:eastAsia="Arial Unicode MS" w:hAnsi="Acumin Pro"/>
          <w:sz w:val="20"/>
          <w:szCs w:val="20"/>
        </w:rPr>
      </w:pPr>
    </w:p>
    <w:p w:rsidR="00C310C6" w:rsidRPr="005921A5" w:rsidRDefault="00C310C6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Szczegółowe zestawienie stolarki okiennej i drzwiowej </w:t>
      </w:r>
      <w:r w:rsidRPr="00C810DF">
        <w:rPr>
          <w:rFonts w:ascii="Acumin Pro" w:hAnsi="Acumin Pro"/>
          <w:sz w:val="20"/>
          <w:szCs w:val="20"/>
        </w:rPr>
        <w:t>wraz z lokalizacją okien i drzwi zawiera   załącznik nr 2 do SWZ.</w:t>
      </w:r>
    </w:p>
    <w:p w:rsidR="005921A5" w:rsidRPr="00C810DF" w:rsidRDefault="005921A5" w:rsidP="005921A5">
      <w:pPr>
        <w:pStyle w:val="Tekstpodstawowy2"/>
        <w:spacing w:after="0" w:line="276" w:lineRule="auto"/>
        <w:ind w:left="284"/>
        <w:jc w:val="both"/>
        <w:rPr>
          <w:rFonts w:ascii="Acumin Pro" w:eastAsia="Arial Unicode MS" w:hAnsi="Acumin Pro"/>
          <w:sz w:val="20"/>
          <w:szCs w:val="20"/>
        </w:rPr>
      </w:pPr>
    </w:p>
    <w:p w:rsidR="00C310C6" w:rsidRPr="006F43B1" w:rsidRDefault="00C310C6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color w:val="FF0000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W ramach wykonania </w:t>
      </w:r>
      <w:r>
        <w:rPr>
          <w:rFonts w:ascii="Acumin Pro" w:hAnsi="Acumin Pro"/>
          <w:sz w:val="20"/>
          <w:szCs w:val="20"/>
        </w:rPr>
        <w:t>przedmiotu umowy</w:t>
      </w:r>
      <w:r w:rsidRPr="00C810DF">
        <w:rPr>
          <w:rFonts w:ascii="Acumin Pro" w:hAnsi="Acumin Pro"/>
          <w:sz w:val="20"/>
          <w:szCs w:val="20"/>
        </w:rPr>
        <w:t xml:space="preserve"> Wykonawca zobowiązany jest do konserwacji dwóch zewnętrznych skrzydeł i ościeżnicy jednego okna (typ 018), zlokalizowanego w Bibliotece na I piętrze Zamku, w celu ustalenia kolorystyki oraz sposobu wykończenia powierzchni – barwa, połysk. Konserwacja wg programu prac z Projektu</w:t>
      </w:r>
      <w:r w:rsidRPr="00975866">
        <w:rPr>
          <w:rFonts w:ascii="Acumin Pro" w:hAnsi="Acumin Pro"/>
          <w:sz w:val="20"/>
          <w:szCs w:val="20"/>
        </w:rPr>
        <w:t>.</w:t>
      </w:r>
    </w:p>
    <w:p w:rsidR="006F43B1" w:rsidRPr="00B33034" w:rsidRDefault="006F43B1" w:rsidP="006F43B1">
      <w:pPr>
        <w:pStyle w:val="Tekstpodstawowy2"/>
        <w:spacing w:after="0" w:line="276" w:lineRule="auto"/>
        <w:ind w:left="284"/>
        <w:jc w:val="both"/>
        <w:rPr>
          <w:rFonts w:ascii="Acumin Pro" w:eastAsia="Arial Unicode MS" w:hAnsi="Acumin Pro"/>
          <w:color w:val="FF0000"/>
          <w:sz w:val="20"/>
          <w:szCs w:val="20"/>
        </w:rPr>
      </w:pPr>
    </w:p>
    <w:p w:rsidR="00C310C6" w:rsidRPr="006F43B1" w:rsidRDefault="00C310C6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Przedmiot obejmuje - zgodnie z dokumentacją projektową -</w:t>
      </w:r>
      <w:r w:rsidRPr="00B33034">
        <w:rPr>
          <w:rFonts w:ascii="Acumin Pro" w:hAnsi="Acumin Pro"/>
          <w:sz w:val="20"/>
          <w:szCs w:val="20"/>
        </w:rPr>
        <w:t xml:space="preserve"> wymianę bądź konserwację bądź usuniecie krat metalowych</w:t>
      </w:r>
      <w:r>
        <w:rPr>
          <w:rFonts w:ascii="Acumin Pro" w:hAnsi="Acumin Pro"/>
          <w:sz w:val="20"/>
          <w:szCs w:val="20"/>
        </w:rPr>
        <w:t>.</w:t>
      </w:r>
      <w:r w:rsidRPr="00B33034">
        <w:rPr>
          <w:rFonts w:ascii="Acumin Pro" w:hAnsi="Acumin Pro"/>
          <w:sz w:val="20"/>
          <w:szCs w:val="20"/>
        </w:rPr>
        <w:t xml:space="preserve"> </w:t>
      </w:r>
    </w:p>
    <w:p w:rsidR="006F43B1" w:rsidRPr="00B33034" w:rsidRDefault="006F43B1" w:rsidP="006F43B1">
      <w:pPr>
        <w:pStyle w:val="Tekstpodstawowy2"/>
        <w:spacing w:after="0" w:line="276" w:lineRule="auto"/>
        <w:ind w:left="284"/>
        <w:jc w:val="both"/>
        <w:rPr>
          <w:rFonts w:ascii="Acumin Pro" w:eastAsia="Arial Unicode MS" w:hAnsi="Acumin Pro"/>
          <w:sz w:val="20"/>
          <w:szCs w:val="20"/>
        </w:rPr>
      </w:pPr>
    </w:p>
    <w:p w:rsidR="00C310C6" w:rsidRDefault="00C310C6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Montowane okna i drzwi muszą spełniać wymogi określone w załączniku nr 1 do Rozporządzenia Ministra Kultury i Dziedzictwa Narodowego z dnia 2 września 2014 r. w sprawie zabezpieczenia zbiorów muzeum przed pożarem, kradzieżą i innym niebezpieczeństwem grożącym ich zniszczeniem lub utratą.</w:t>
      </w:r>
    </w:p>
    <w:p w:rsidR="006F43B1" w:rsidRDefault="006F43B1" w:rsidP="006F43B1">
      <w:pPr>
        <w:pStyle w:val="Tekstpodstawowy2"/>
        <w:spacing w:after="0" w:line="276" w:lineRule="auto"/>
        <w:ind w:left="284"/>
        <w:jc w:val="both"/>
        <w:rPr>
          <w:rFonts w:ascii="Acumin Pro" w:eastAsia="Arial Unicode MS" w:hAnsi="Acumin Pro"/>
          <w:sz w:val="20"/>
          <w:szCs w:val="20"/>
        </w:rPr>
      </w:pPr>
    </w:p>
    <w:p w:rsidR="00C310C6" w:rsidRPr="00C810DF" w:rsidRDefault="00C310C6" w:rsidP="00C310C6">
      <w:pPr>
        <w:pStyle w:val="Tekstpodstawowy2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Kolorystyka nowej stolarki zostanie ustalona w uzgodnieniu z Zamawiającym („jasny dąb” jako barwa wstępnie ustalona – ostateczne decyzje po wykonaniu konserwacji zewnętrznej części jednego wskazanego okna zabytkowego (Biblioteka). Kolorysta stolarki od strony wnętrza powinna być dostosowana do kolorystyki pomieszczenia, w uzgodnieniu z Zamawiającym. </w:t>
      </w:r>
    </w:p>
    <w:p w:rsidR="00C310C6" w:rsidRDefault="00C310C6" w:rsidP="00C310C6"/>
    <w:p w:rsidR="00C310C6" w:rsidRDefault="00C310C6" w:rsidP="00C310C6"/>
    <w:sectPr w:rsidR="00C3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20105"/>
    <w:multiLevelType w:val="hybridMultilevel"/>
    <w:tmpl w:val="91701CA2"/>
    <w:lvl w:ilvl="0" w:tplc="B81C8CA4">
      <w:start w:val="1"/>
      <w:numFmt w:val="decimal"/>
      <w:lvlText w:val="%1)"/>
      <w:lvlJc w:val="left"/>
      <w:pPr>
        <w:ind w:left="268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04" w:hanging="360"/>
      </w:pPr>
    </w:lvl>
    <w:lvl w:ilvl="2" w:tplc="0415001B" w:tentative="1">
      <w:start w:val="1"/>
      <w:numFmt w:val="lowerRoman"/>
      <w:lvlText w:val="%3."/>
      <w:lvlJc w:val="right"/>
      <w:pPr>
        <w:ind w:left="4124" w:hanging="180"/>
      </w:pPr>
    </w:lvl>
    <w:lvl w:ilvl="3" w:tplc="0415000F" w:tentative="1">
      <w:start w:val="1"/>
      <w:numFmt w:val="decimal"/>
      <w:lvlText w:val="%4."/>
      <w:lvlJc w:val="left"/>
      <w:pPr>
        <w:ind w:left="4844" w:hanging="360"/>
      </w:pPr>
    </w:lvl>
    <w:lvl w:ilvl="4" w:tplc="04150019" w:tentative="1">
      <w:start w:val="1"/>
      <w:numFmt w:val="lowerLetter"/>
      <w:lvlText w:val="%5."/>
      <w:lvlJc w:val="left"/>
      <w:pPr>
        <w:ind w:left="5564" w:hanging="360"/>
      </w:pPr>
    </w:lvl>
    <w:lvl w:ilvl="5" w:tplc="0415001B" w:tentative="1">
      <w:start w:val="1"/>
      <w:numFmt w:val="lowerRoman"/>
      <w:lvlText w:val="%6."/>
      <w:lvlJc w:val="right"/>
      <w:pPr>
        <w:ind w:left="6284" w:hanging="180"/>
      </w:pPr>
    </w:lvl>
    <w:lvl w:ilvl="6" w:tplc="0415000F" w:tentative="1">
      <w:start w:val="1"/>
      <w:numFmt w:val="decimal"/>
      <w:lvlText w:val="%7."/>
      <w:lvlJc w:val="left"/>
      <w:pPr>
        <w:ind w:left="7004" w:hanging="360"/>
      </w:pPr>
    </w:lvl>
    <w:lvl w:ilvl="7" w:tplc="04150019" w:tentative="1">
      <w:start w:val="1"/>
      <w:numFmt w:val="lowerLetter"/>
      <w:lvlText w:val="%8."/>
      <w:lvlJc w:val="left"/>
      <w:pPr>
        <w:ind w:left="7724" w:hanging="360"/>
      </w:pPr>
    </w:lvl>
    <w:lvl w:ilvl="8" w:tplc="0415001B" w:tentative="1">
      <w:start w:val="1"/>
      <w:numFmt w:val="lowerRoman"/>
      <w:lvlText w:val="%9."/>
      <w:lvlJc w:val="right"/>
      <w:pPr>
        <w:ind w:left="8444" w:hanging="180"/>
      </w:pPr>
    </w:lvl>
  </w:abstractNum>
  <w:abstractNum w:abstractNumId="2">
    <w:nsid w:val="189B38CF"/>
    <w:multiLevelType w:val="hybridMultilevel"/>
    <w:tmpl w:val="BF0CB32A"/>
    <w:lvl w:ilvl="0" w:tplc="D81C3250">
      <w:start w:val="1"/>
      <w:numFmt w:val="decimal"/>
      <w:lvlText w:val="%1)"/>
      <w:lvlJc w:val="left"/>
      <w:pPr>
        <w:ind w:left="163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49534915"/>
    <w:multiLevelType w:val="hybridMultilevel"/>
    <w:tmpl w:val="EBA0DA5C"/>
    <w:lvl w:ilvl="0" w:tplc="04150017">
      <w:start w:val="1"/>
      <w:numFmt w:val="lowerLetter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>
    <w:useFELayout/>
  </w:compat>
  <w:rsids>
    <w:rsidRoot w:val="00C310C6"/>
    <w:rsid w:val="005921A5"/>
    <w:rsid w:val="006F43B1"/>
    <w:rsid w:val="00AC445A"/>
    <w:rsid w:val="00C31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310C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C310C6"/>
    <w:rPr>
      <w:rFonts w:ascii="Times New Roman" w:eastAsia="Arial Unicode MS" w:hAnsi="Times New Roman" w:cs="Times New Roman"/>
      <w:sz w:val="24"/>
      <w:szCs w:val="24"/>
      <w:lang w:val="en-US" w:eastAsia="en-US"/>
    </w:rPr>
  </w:style>
  <w:style w:type="paragraph" w:styleId="Tekstpodstawowy2">
    <w:name w:val="Body Text 2"/>
    <w:basedOn w:val="Normalny"/>
    <w:link w:val="Tekstpodstawowy2Znak"/>
    <w:rsid w:val="00C310C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C310C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PC</dc:creator>
  <cp:keywords/>
  <dc:description/>
  <cp:lastModifiedBy>Agnieszka PC</cp:lastModifiedBy>
  <cp:revision>4</cp:revision>
  <dcterms:created xsi:type="dcterms:W3CDTF">2021-08-22T18:21:00Z</dcterms:created>
  <dcterms:modified xsi:type="dcterms:W3CDTF">2021-08-22T18:33:00Z</dcterms:modified>
</cp:coreProperties>
</file>