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B4" w:rsidRPr="0020232D" w:rsidRDefault="004A77DA" w:rsidP="0020232D">
      <w:pPr>
        <w:pStyle w:val="MNPAdresat"/>
        <w:spacing w:line="276" w:lineRule="auto"/>
        <w:ind w:left="5760"/>
      </w:pPr>
      <w:r w:rsidRPr="0020232D">
        <w:t xml:space="preserve">Poznań, dnia </w:t>
      </w:r>
      <w:r w:rsidR="00A14E6F" w:rsidRPr="0020232D">
        <w:t xml:space="preserve">11.10.2021 r. </w:t>
      </w:r>
    </w:p>
    <w:p w:rsidR="00A14E6F" w:rsidRPr="0020232D" w:rsidRDefault="00A14E6F" w:rsidP="0020232D">
      <w:pPr>
        <w:pStyle w:val="MNPAdresat"/>
        <w:spacing w:line="276" w:lineRule="auto"/>
        <w:ind w:left="0"/>
      </w:pPr>
    </w:p>
    <w:p w:rsidR="004A77DA" w:rsidRPr="0020232D" w:rsidRDefault="005B6E2D" w:rsidP="0020232D">
      <w:pPr>
        <w:pStyle w:val="MNPAdresat"/>
        <w:spacing w:line="276" w:lineRule="auto"/>
        <w:ind w:left="0"/>
      </w:pPr>
      <w:r w:rsidRPr="0020232D">
        <w:t>AZ.281.13.2021</w:t>
      </w:r>
    </w:p>
    <w:p w:rsidR="005B6E2D" w:rsidRPr="0020232D" w:rsidRDefault="005B6E2D" w:rsidP="0020232D">
      <w:pPr>
        <w:pStyle w:val="MNPTre"/>
        <w:spacing w:line="276" w:lineRule="auto"/>
        <w:rPr>
          <w:rFonts w:eastAsia="Helvetica Neue" w:cs="Helvetica Neue"/>
          <w:shd w:val="clear" w:color="auto" w:fill="auto"/>
          <w:lang w:val="pl-PL"/>
        </w:rPr>
      </w:pPr>
    </w:p>
    <w:p w:rsidR="00E62F9F" w:rsidRPr="0020232D" w:rsidRDefault="005B6E2D" w:rsidP="0020232D">
      <w:pPr>
        <w:spacing w:line="276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20232D">
        <w:rPr>
          <w:rFonts w:ascii="Acumin Pro" w:eastAsia="Helvetica Neue" w:hAnsi="Acumin Pro" w:cs="Helvetica Neue"/>
          <w:sz w:val="20"/>
          <w:szCs w:val="20"/>
          <w:lang w:val="pl-PL"/>
        </w:rPr>
        <w:t>dot. postępowania przetargowego na</w:t>
      </w:r>
      <w:r w:rsidR="00E62F9F" w:rsidRPr="0020232D">
        <w:rPr>
          <w:rFonts w:ascii="Acumin Pro" w:eastAsia="Helvetica Neue" w:hAnsi="Acumin Pro" w:cs="Helvetica Neue"/>
          <w:sz w:val="20"/>
          <w:szCs w:val="20"/>
          <w:lang w:val="pl-PL"/>
        </w:rPr>
        <w:t xml:space="preserve"> </w:t>
      </w:r>
      <w:r w:rsidR="00E62F9F" w:rsidRPr="0020232D">
        <w:rPr>
          <w:rFonts w:ascii="Acumin Pro" w:hAnsi="Acumin Pro"/>
          <w:b/>
          <w:sz w:val="20"/>
          <w:szCs w:val="20"/>
          <w:lang w:val="pl-PL"/>
        </w:rPr>
        <w:t>„</w:t>
      </w:r>
      <w:bookmarkStart w:id="0" w:name="_Hlk84227330"/>
      <w:r w:rsidR="00E62F9F" w:rsidRPr="0020232D">
        <w:rPr>
          <w:rFonts w:ascii="Acumin Pro" w:hAnsi="Acumin Pro"/>
          <w:b/>
          <w:sz w:val="20"/>
          <w:szCs w:val="20"/>
          <w:lang w:val="pl-PL"/>
        </w:rPr>
        <w:t xml:space="preserve">Dostarczenie do siedziby Zmawiającego nowej centrali SSP i </w:t>
      </w:r>
      <w:r w:rsidR="00E62F9F" w:rsidRPr="0020232D">
        <w:rPr>
          <w:rFonts w:ascii="Acumin Pro" w:eastAsia="Times New Roman" w:hAnsi="Acumin Pro" w:cstheme="minorHAnsi"/>
          <w:b/>
          <w:sz w:val="20"/>
          <w:szCs w:val="20"/>
          <w:lang w:val="pl-PL" w:eastAsia="pl-PL"/>
        </w:rPr>
        <w:t>aktualizacja (</w:t>
      </w:r>
      <w:proofErr w:type="spellStart"/>
      <w:r w:rsidR="00E62F9F" w:rsidRPr="0020232D">
        <w:rPr>
          <w:rFonts w:ascii="Acumin Pro" w:eastAsia="Times New Roman" w:hAnsi="Acumin Pro" w:cstheme="minorHAnsi"/>
          <w:b/>
          <w:sz w:val="20"/>
          <w:szCs w:val="20"/>
          <w:lang w:val="pl-PL" w:eastAsia="pl-PL"/>
        </w:rPr>
        <w:t>upgrade</w:t>
      </w:r>
      <w:proofErr w:type="spellEnd"/>
      <w:r w:rsidR="00E62F9F" w:rsidRPr="0020232D">
        <w:rPr>
          <w:rFonts w:ascii="Acumin Pro" w:eastAsia="Times New Roman" w:hAnsi="Acumin Pro" w:cstheme="minorHAnsi"/>
          <w:b/>
          <w:sz w:val="20"/>
          <w:szCs w:val="20"/>
          <w:lang w:val="pl-PL" w:eastAsia="pl-PL"/>
        </w:rPr>
        <w:t xml:space="preserve">) istniejącej licencji systemu Honeywell  BMS EBI o numerze 27653 do najnowszej dostępnej wersji systemu Honeywell (system zarządzający dla systemów SSP i bezpieczeństwa) oraz </w:t>
      </w:r>
      <w:r w:rsidR="00E62F9F" w:rsidRPr="0020232D">
        <w:rPr>
          <w:rFonts w:ascii="Acumin Pro" w:hAnsi="Acumin Pro"/>
          <w:b/>
          <w:sz w:val="20"/>
          <w:szCs w:val="20"/>
          <w:lang w:val="pl-PL"/>
        </w:rPr>
        <w:t>nowych urządzeń do systemu oddymiania  i napowietrzenia klatki schodowej</w:t>
      </w:r>
      <w:bookmarkEnd w:id="0"/>
      <w:r w:rsidR="00E62F9F" w:rsidRPr="0020232D">
        <w:rPr>
          <w:rFonts w:ascii="Acumin Pro" w:hAnsi="Acumin Pro"/>
          <w:b/>
          <w:sz w:val="20"/>
          <w:szCs w:val="20"/>
          <w:lang w:val="pl-PL"/>
        </w:rPr>
        <w:t>.”</w:t>
      </w:r>
    </w:p>
    <w:p w:rsidR="00E62F9F" w:rsidRPr="0020232D" w:rsidRDefault="00E62F9F" w:rsidP="0020232D">
      <w:pPr>
        <w:pStyle w:val="MNPTre"/>
        <w:spacing w:line="276" w:lineRule="auto"/>
        <w:jc w:val="center"/>
        <w:rPr>
          <w:b/>
        </w:rPr>
      </w:pPr>
    </w:p>
    <w:p w:rsidR="00FE33D1" w:rsidRPr="0020232D" w:rsidRDefault="00A14E6F" w:rsidP="0020232D">
      <w:pPr>
        <w:pStyle w:val="MNPTre"/>
        <w:spacing w:line="276" w:lineRule="auto"/>
        <w:jc w:val="center"/>
        <w:rPr>
          <w:b/>
        </w:rPr>
      </w:pPr>
      <w:r w:rsidRPr="0020232D">
        <w:rPr>
          <w:b/>
        </w:rPr>
        <w:t>ZMIANA SWZ I TERMINU SKŁADANIA OFERT</w:t>
      </w:r>
    </w:p>
    <w:p w:rsidR="00E62F9F" w:rsidRPr="000C2F44" w:rsidRDefault="00E62F9F" w:rsidP="0020232D">
      <w:pPr>
        <w:pStyle w:val="MNPTre"/>
        <w:tabs>
          <w:tab w:val="clear" w:pos="720"/>
          <w:tab w:val="left" w:pos="284"/>
        </w:tabs>
        <w:spacing w:line="276" w:lineRule="auto"/>
        <w:rPr>
          <w:b/>
        </w:rPr>
      </w:pPr>
      <w:r w:rsidRPr="0020232D">
        <w:t xml:space="preserve">Działając na podstawie art. </w:t>
      </w:r>
      <w:r w:rsidR="00244F72" w:rsidRPr="0020232D">
        <w:t xml:space="preserve">286 </w:t>
      </w:r>
      <w:r w:rsidRPr="0020232D">
        <w:t xml:space="preserve">ustawy z 11 września 2019 r.  – Prawo zamówień publicznych (Dz. U. 2019, poz. 2019 ze zm.), </w:t>
      </w:r>
      <w:r w:rsidR="00686C0D" w:rsidRPr="0020232D">
        <w:t xml:space="preserve">zwanej dalej ustawą Pzp, </w:t>
      </w:r>
      <w:r w:rsidRPr="0020232D">
        <w:t xml:space="preserve">Zamawiający zmienia </w:t>
      </w:r>
      <w:r w:rsidR="00244F72" w:rsidRPr="0020232D">
        <w:t>przedmiot zamówienia okre</w:t>
      </w:r>
      <w:r w:rsidR="005E022F" w:rsidRPr="0020232D">
        <w:t>ś</w:t>
      </w:r>
      <w:r w:rsidR="00244F72" w:rsidRPr="0020232D">
        <w:t>lown</w:t>
      </w:r>
      <w:r w:rsidR="0016120E" w:rsidRPr="0020232D">
        <w:t xml:space="preserve">y </w:t>
      </w:r>
      <w:r w:rsidR="00244F72" w:rsidRPr="0020232D">
        <w:t>SWZ</w:t>
      </w:r>
      <w:r w:rsidR="005E022F" w:rsidRPr="0020232D">
        <w:t xml:space="preserve"> w ten sposób, że</w:t>
      </w:r>
      <w:r w:rsidR="000C2F44">
        <w:t xml:space="preserve"> </w:t>
      </w:r>
      <w:r w:rsidR="000C2F44" w:rsidRPr="000C2F44">
        <w:rPr>
          <w:b/>
        </w:rPr>
        <w:t>nie obejmuje</w:t>
      </w:r>
      <w:r w:rsidR="000C2F44">
        <w:t xml:space="preserve"> on </w:t>
      </w:r>
      <w:r w:rsidR="00B72E2A" w:rsidRPr="0020232D">
        <w:t>dostarczeni</w:t>
      </w:r>
      <w:r w:rsidR="000C2F44">
        <w:t>a</w:t>
      </w:r>
      <w:r w:rsidR="00B72E2A" w:rsidRPr="0020232D">
        <w:t xml:space="preserve"> </w:t>
      </w:r>
      <w:r w:rsidR="005E022F" w:rsidRPr="0020232D">
        <w:t xml:space="preserve">do siedziby Zamawiajacego </w:t>
      </w:r>
      <w:r w:rsidR="005E022F" w:rsidRPr="000C2F44">
        <w:rPr>
          <w:b/>
        </w:rPr>
        <w:t>nowej centrali SSP.</w:t>
      </w:r>
    </w:p>
    <w:p w:rsidR="0016120E" w:rsidRPr="0020232D" w:rsidRDefault="0016120E" w:rsidP="0020232D">
      <w:pPr>
        <w:pStyle w:val="MNPTre"/>
        <w:spacing w:line="276" w:lineRule="auto"/>
      </w:pPr>
      <w:r w:rsidRPr="0020232D">
        <w:t>Mając na uwadze powyższe:</w:t>
      </w:r>
    </w:p>
    <w:p w:rsidR="0016120E" w:rsidRPr="0020232D" w:rsidRDefault="000C2F44" w:rsidP="000C2F44">
      <w:pPr>
        <w:pStyle w:val="MNPTre"/>
        <w:numPr>
          <w:ilvl w:val="0"/>
          <w:numId w:val="5"/>
        </w:numPr>
        <w:spacing w:line="276" w:lineRule="auto"/>
        <w:ind w:left="360"/>
      </w:pPr>
      <w:r>
        <w:t>n</w:t>
      </w:r>
      <w:r w:rsidR="0016120E" w:rsidRPr="0020232D">
        <w:t xml:space="preserve">owa nazwa </w:t>
      </w:r>
      <w:r w:rsidR="001D1C49">
        <w:t xml:space="preserve">postępowania </w:t>
      </w:r>
      <w:r w:rsidR="00BF2A76" w:rsidRPr="0020232D">
        <w:t>otrzymuje</w:t>
      </w:r>
      <w:r w:rsidR="0016120E" w:rsidRPr="0020232D">
        <w:t xml:space="preserve"> </w:t>
      </w:r>
      <w:r>
        <w:t xml:space="preserve">następujące </w:t>
      </w:r>
      <w:r w:rsidR="0016120E" w:rsidRPr="0020232D">
        <w:t>brzmienie:</w:t>
      </w:r>
    </w:p>
    <w:p w:rsidR="000441EE" w:rsidRPr="000C2F44" w:rsidRDefault="000C2F44" w:rsidP="000C2F44">
      <w:pPr>
        <w:pStyle w:val="Akapitzlist"/>
        <w:spacing w:line="276" w:lineRule="auto"/>
        <w:ind w:left="360"/>
        <w:jc w:val="both"/>
        <w:rPr>
          <w:rFonts w:ascii="Acumin Pro" w:eastAsia="Times New Roman" w:hAnsi="Acumin Pro" w:cstheme="minorHAnsi"/>
          <w:sz w:val="20"/>
          <w:szCs w:val="20"/>
          <w:lang w:val="pl-PL" w:eastAsia="pl-PL"/>
        </w:rPr>
      </w:pPr>
      <w:r w:rsidRPr="000C2F44">
        <w:rPr>
          <w:rFonts w:ascii="Acumin Pro" w:hAnsi="Acumin Pro"/>
          <w:sz w:val="20"/>
          <w:szCs w:val="20"/>
          <w:lang w:val="pl-PL"/>
        </w:rPr>
        <w:t>„</w:t>
      </w:r>
      <w:r w:rsidR="000441EE" w:rsidRPr="000C2F44">
        <w:rPr>
          <w:rFonts w:ascii="Acumin Pro" w:hAnsi="Acumin Pro"/>
          <w:sz w:val="20"/>
          <w:szCs w:val="20"/>
          <w:lang w:val="pl-PL"/>
        </w:rPr>
        <w:t xml:space="preserve">Dostarczenie do siedziby Zmawiającego </w:t>
      </w:r>
      <w:r w:rsidR="000441EE" w:rsidRPr="000C2F44">
        <w:rPr>
          <w:rFonts w:ascii="Acumin Pro" w:eastAsia="Times New Roman" w:hAnsi="Acumin Pro" w:cstheme="minorHAnsi"/>
          <w:sz w:val="20"/>
          <w:szCs w:val="20"/>
          <w:lang w:val="pl-PL" w:eastAsia="pl-PL"/>
        </w:rPr>
        <w:t>aktualizacji (</w:t>
      </w:r>
      <w:proofErr w:type="spellStart"/>
      <w:r w:rsidR="000441EE" w:rsidRPr="000C2F44">
        <w:rPr>
          <w:rFonts w:ascii="Acumin Pro" w:eastAsia="Times New Roman" w:hAnsi="Acumin Pro" w:cstheme="minorHAnsi"/>
          <w:sz w:val="20"/>
          <w:szCs w:val="20"/>
          <w:lang w:val="pl-PL" w:eastAsia="pl-PL"/>
        </w:rPr>
        <w:t>upgrade</w:t>
      </w:r>
      <w:proofErr w:type="spellEnd"/>
      <w:r w:rsidR="000441EE" w:rsidRPr="000C2F44">
        <w:rPr>
          <w:rFonts w:ascii="Acumin Pro" w:eastAsia="Times New Roman" w:hAnsi="Acumin Pro" w:cstheme="minorHAnsi"/>
          <w:sz w:val="20"/>
          <w:szCs w:val="20"/>
          <w:lang w:val="pl-PL" w:eastAsia="pl-PL"/>
        </w:rPr>
        <w:t xml:space="preserve">) istniejącej licencji systemu Honeywell  BMS EBI o numerze 27653 do najnowszej dostępnej wersji systemu Honeywell (system zarządzający dla systemów SSP i bezpieczeństwa) oraz </w:t>
      </w:r>
      <w:r w:rsidR="000441EE" w:rsidRPr="000C2F44">
        <w:rPr>
          <w:rFonts w:ascii="Acumin Pro" w:hAnsi="Acumin Pro"/>
          <w:sz w:val="20"/>
          <w:szCs w:val="20"/>
          <w:lang w:val="pl-PL"/>
        </w:rPr>
        <w:t>nowych urządzeń do systemu oddymiania  i napowietrzenia klatki schodowej</w:t>
      </w:r>
      <w:r w:rsidRPr="000C2F44">
        <w:rPr>
          <w:rFonts w:ascii="Acumin Pro" w:hAnsi="Acumin Pro"/>
          <w:sz w:val="20"/>
          <w:szCs w:val="20"/>
          <w:lang w:val="pl-PL"/>
        </w:rPr>
        <w:t>”</w:t>
      </w:r>
      <w:r w:rsidR="000441EE" w:rsidRPr="000C2F44">
        <w:rPr>
          <w:rFonts w:ascii="Acumin Pro" w:eastAsia="Times New Roman" w:hAnsi="Acumin Pro" w:cstheme="minorHAnsi"/>
          <w:sz w:val="20"/>
          <w:szCs w:val="20"/>
          <w:lang w:val="pl-PL" w:eastAsia="pl-PL"/>
        </w:rPr>
        <w:t xml:space="preserve"> </w:t>
      </w:r>
    </w:p>
    <w:p w:rsidR="000441EE" w:rsidRPr="0020232D" w:rsidRDefault="000441EE" w:rsidP="000C2F44">
      <w:pPr>
        <w:pStyle w:val="Akapitzlist"/>
        <w:spacing w:line="276" w:lineRule="auto"/>
        <w:ind w:left="360"/>
        <w:jc w:val="both"/>
        <w:rPr>
          <w:rFonts w:ascii="Acumin Pro" w:hAnsi="Acumin Pro"/>
          <w:b/>
          <w:sz w:val="20"/>
          <w:szCs w:val="20"/>
          <w:lang w:val="pl-PL"/>
        </w:rPr>
      </w:pPr>
      <w:bookmarkStart w:id="1" w:name="_GoBack"/>
      <w:bookmarkEnd w:id="1"/>
    </w:p>
    <w:p w:rsidR="0016120E" w:rsidRPr="0020232D" w:rsidRDefault="0016120E" w:rsidP="000C2F44">
      <w:pPr>
        <w:pStyle w:val="MNPTre"/>
        <w:numPr>
          <w:ilvl w:val="0"/>
          <w:numId w:val="5"/>
        </w:numPr>
        <w:spacing w:line="276" w:lineRule="auto"/>
        <w:ind w:left="360"/>
        <w:rPr>
          <w:rFonts w:eastAsia="Times New Roman" w:cstheme="minorHAnsi"/>
          <w:bdr w:val="none" w:sz="0" w:space="0" w:color="auto" w:frame="1"/>
          <w:lang w:val="pl-PL"/>
        </w:rPr>
      </w:pPr>
      <w:r w:rsidRPr="0020232D">
        <w:rPr>
          <w:rFonts w:eastAsia="Times New Roman" w:cstheme="minorHAnsi"/>
          <w:bdr w:val="none" w:sz="0" w:space="0" w:color="auto" w:frame="1"/>
          <w:lang w:val="pl-PL"/>
        </w:rPr>
        <w:t>pkt. 1 działu III SWZ otrzymuje</w:t>
      </w:r>
      <w:r w:rsidR="000C2F44">
        <w:rPr>
          <w:rFonts w:eastAsia="Times New Roman" w:cstheme="minorHAnsi"/>
          <w:bdr w:val="none" w:sz="0" w:space="0" w:color="auto" w:frame="1"/>
          <w:lang w:val="pl-PL"/>
        </w:rPr>
        <w:t xml:space="preserve"> następujące</w:t>
      </w:r>
      <w:r w:rsidRPr="0020232D">
        <w:rPr>
          <w:rFonts w:eastAsia="Times New Roman" w:cstheme="minorHAnsi"/>
          <w:bdr w:val="none" w:sz="0" w:space="0" w:color="auto" w:frame="1"/>
          <w:lang w:val="pl-PL"/>
        </w:rPr>
        <w:t xml:space="preserve"> brzmienie</w:t>
      </w:r>
    </w:p>
    <w:p w:rsidR="000441EE" w:rsidRDefault="000C2F44" w:rsidP="000C2F44">
      <w:pPr>
        <w:spacing w:line="276" w:lineRule="auto"/>
        <w:ind w:left="349"/>
        <w:jc w:val="both"/>
        <w:rPr>
          <w:rFonts w:ascii="Acumin Pro" w:hAnsi="Acumin Pro"/>
          <w:sz w:val="20"/>
          <w:szCs w:val="20"/>
          <w:lang w:val="pl-PL"/>
        </w:rPr>
      </w:pPr>
      <w:r w:rsidRPr="000C2F44">
        <w:rPr>
          <w:rFonts w:ascii="Acumin Pro" w:hAnsi="Acumin Pro"/>
          <w:sz w:val="20"/>
          <w:szCs w:val="20"/>
          <w:lang w:val="pl-PL"/>
        </w:rPr>
        <w:t>„</w:t>
      </w:r>
      <w:r>
        <w:rPr>
          <w:rFonts w:ascii="Acumin Pro" w:hAnsi="Acumin Pro"/>
          <w:sz w:val="20"/>
          <w:szCs w:val="20"/>
          <w:lang w:val="pl-PL"/>
        </w:rPr>
        <w:t xml:space="preserve">1. </w:t>
      </w:r>
      <w:r w:rsidR="000441EE" w:rsidRPr="000C2F44">
        <w:rPr>
          <w:rFonts w:ascii="Acumin Pro" w:hAnsi="Acumin Pro"/>
          <w:sz w:val="20"/>
          <w:szCs w:val="20"/>
          <w:lang w:val="pl-PL"/>
        </w:rPr>
        <w:t xml:space="preserve">Dostarczenie do siedziby Zmawiającego </w:t>
      </w:r>
      <w:r w:rsidR="000441EE" w:rsidRPr="000C2F44">
        <w:rPr>
          <w:rFonts w:ascii="Acumin Pro" w:eastAsia="Times New Roman" w:hAnsi="Acumin Pro" w:cstheme="minorHAnsi"/>
          <w:sz w:val="20"/>
          <w:szCs w:val="20"/>
          <w:lang w:val="pl-PL" w:eastAsia="pl-PL"/>
        </w:rPr>
        <w:t>aktualizacji (</w:t>
      </w:r>
      <w:proofErr w:type="spellStart"/>
      <w:r w:rsidR="000441EE" w:rsidRPr="000C2F44">
        <w:rPr>
          <w:rFonts w:ascii="Acumin Pro" w:eastAsia="Times New Roman" w:hAnsi="Acumin Pro" w:cstheme="minorHAnsi"/>
          <w:sz w:val="20"/>
          <w:szCs w:val="20"/>
          <w:lang w:val="pl-PL" w:eastAsia="pl-PL"/>
        </w:rPr>
        <w:t>upgrade</w:t>
      </w:r>
      <w:proofErr w:type="spellEnd"/>
      <w:r w:rsidR="000441EE" w:rsidRPr="000C2F44">
        <w:rPr>
          <w:rFonts w:ascii="Acumin Pro" w:eastAsia="Times New Roman" w:hAnsi="Acumin Pro" w:cstheme="minorHAnsi"/>
          <w:sz w:val="20"/>
          <w:szCs w:val="20"/>
          <w:lang w:val="pl-PL" w:eastAsia="pl-PL"/>
        </w:rPr>
        <w:t xml:space="preserve">) istniejącej licencji systemu Honeywell  BMS EBI o numerze 27653 do najnowszej dostępnej wersji systemu Honeywell (system zarządzający dla systemów SSP i bezpieczeństwa) oraz </w:t>
      </w:r>
      <w:r w:rsidR="000441EE" w:rsidRPr="000C2F44">
        <w:rPr>
          <w:rFonts w:ascii="Acumin Pro" w:hAnsi="Acumin Pro"/>
          <w:sz w:val="20"/>
          <w:szCs w:val="20"/>
          <w:lang w:val="pl-PL"/>
        </w:rPr>
        <w:t>nowych urządzeń do systemu oddymiania  i napowietrzenia klatki schodowej</w:t>
      </w:r>
      <w:r w:rsidRPr="000C2F44">
        <w:rPr>
          <w:rFonts w:ascii="Acumin Pro" w:hAnsi="Acumin Pro"/>
          <w:sz w:val="20"/>
          <w:szCs w:val="20"/>
          <w:lang w:val="pl-PL"/>
        </w:rPr>
        <w:t>”</w:t>
      </w:r>
    </w:p>
    <w:p w:rsidR="000C2F44" w:rsidRPr="000C2F44" w:rsidRDefault="000C2F44" w:rsidP="000C2F44">
      <w:pPr>
        <w:spacing w:line="276" w:lineRule="auto"/>
        <w:ind w:left="349"/>
        <w:jc w:val="both"/>
        <w:rPr>
          <w:rFonts w:ascii="Acumin Pro" w:hAnsi="Acumin Pro"/>
          <w:sz w:val="20"/>
          <w:szCs w:val="20"/>
          <w:lang w:val="pl-PL"/>
        </w:rPr>
      </w:pPr>
    </w:p>
    <w:p w:rsidR="0016120E" w:rsidRPr="0020232D" w:rsidRDefault="0016120E" w:rsidP="000C2F44">
      <w:pPr>
        <w:pStyle w:val="MNPTre"/>
        <w:numPr>
          <w:ilvl w:val="0"/>
          <w:numId w:val="5"/>
        </w:numPr>
        <w:spacing w:line="276" w:lineRule="auto"/>
        <w:ind w:left="360"/>
      </w:pPr>
      <w:r w:rsidRPr="0020232D">
        <w:rPr>
          <w:rFonts w:eastAsia="Times New Roman" w:cstheme="minorHAnsi"/>
          <w:bdr w:val="none" w:sz="0" w:space="0" w:color="auto" w:frame="1"/>
          <w:lang w:val="pl-PL"/>
        </w:rPr>
        <w:t xml:space="preserve">pkt. 2 działu III SWZ otrzymuje </w:t>
      </w:r>
      <w:r w:rsidR="000C2F44">
        <w:rPr>
          <w:rFonts w:eastAsia="Times New Roman" w:cstheme="minorHAnsi"/>
          <w:bdr w:val="none" w:sz="0" w:space="0" w:color="auto" w:frame="1"/>
          <w:lang w:val="pl-PL"/>
        </w:rPr>
        <w:t xml:space="preserve">następujące </w:t>
      </w:r>
      <w:r w:rsidRPr="0020232D">
        <w:rPr>
          <w:rFonts w:eastAsia="Times New Roman" w:cstheme="minorHAnsi"/>
          <w:bdr w:val="none" w:sz="0" w:space="0" w:color="auto" w:frame="1"/>
          <w:lang w:val="pl-PL"/>
        </w:rPr>
        <w:t>brzmienie:</w:t>
      </w:r>
    </w:p>
    <w:p w:rsidR="003B0086" w:rsidRPr="0020232D" w:rsidRDefault="003B0086" w:rsidP="0020232D">
      <w:pPr>
        <w:pStyle w:val="Tekstpodstawowy2"/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20232D">
        <w:rPr>
          <w:rFonts w:ascii="Acumin Pro" w:eastAsia="Arial Unicode MS" w:hAnsi="Acumin Pro"/>
          <w:sz w:val="20"/>
          <w:szCs w:val="20"/>
        </w:rPr>
        <w:t>„2. Zamawiający dopuszcza składanie ofert częściowych, gdzie część (zadanie) stanowi:</w:t>
      </w:r>
    </w:p>
    <w:p w:rsidR="000441EE" w:rsidRPr="0020232D" w:rsidRDefault="000441EE" w:rsidP="0020232D">
      <w:pPr>
        <w:pStyle w:val="Tekstpodstawowy2"/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7828"/>
      </w:tblGrid>
      <w:tr w:rsidR="003B0086" w:rsidRPr="0020232D" w:rsidTr="00F67436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086" w:rsidRPr="0020232D" w:rsidRDefault="003B0086" w:rsidP="0020232D">
            <w:pPr>
              <w:pStyle w:val="Tekstpodstawowy"/>
              <w:spacing w:line="276" w:lineRule="auto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20232D">
              <w:rPr>
                <w:rFonts w:ascii="Acumin Pro" w:hAnsi="Acumin Pro"/>
                <w:b/>
                <w:sz w:val="20"/>
                <w:szCs w:val="20"/>
              </w:rPr>
              <w:t>Zadanie nr: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086" w:rsidRPr="0020232D" w:rsidRDefault="003B0086" w:rsidP="0020232D">
            <w:pPr>
              <w:pStyle w:val="Tekstpodstawowy"/>
              <w:spacing w:line="276" w:lineRule="auto"/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20232D">
              <w:rPr>
                <w:rFonts w:ascii="Acumin Pro" w:hAnsi="Acumin Pro"/>
                <w:b/>
                <w:sz w:val="20"/>
                <w:szCs w:val="20"/>
              </w:rPr>
              <w:t>Opis:</w:t>
            </w:r>
          </w:p>
        </w:tc>
      </w:tr>
      <w:tr w:rsidR="003B0086" w:rsidRPr="001D1C49" w:rsidTr="00F67436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6" w:rsidRPr="0020232D" w:rsidRDefault="003B0086" w:rsidP="0020232D">
            <w:pPr>
              <w:pStyle w:val="Tekstpodstawowy"/>
              <w:spacing w:line="276" w:lineRule="auto"/>
              <w:jc w:val="right"/>
              <w:rPr>
                <w:rFonts w:ascii="Acumin Pro" w:hAnsi="Acumin Pro"/>
                <w:sz w:val="20"/>
                <w:szCs w:val="20"/>
              </w:rPr>
            </w:pPr>
            <w:r w:rsidRPr="0020232D">
              <w:rPr>
                <w:rFonts w:ascii="Acumin Pro" w:hAnsi="Acumin Pro"/>
                <w:sz w:val="20"/>
                <w:szCs w:val="20"/>
              </w:rPr>
              <w:t>1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6" w:rsidRPr="0020232D" w:rsidRDefault="003B0086" w:rsidP="0020232D">
            <w:pPr>
              <w:pStyle w:val="Tekstpodstawowy"/>
              <w:spacing w:line="276" w:lineRule="auto"/>
              <w:rPr>
                <w:rFonts w:ascii="Acumin Pro" w:hAnsi="Acumin Pro"/>
                <w:sz w:val="20"/>
                <w:szCs w:val="20"/>
              </w:rPr>
            </w:pPr>
            <w:r w:rsidRPr="0020232D">
              <w:rPr>
                <w:rFonts w:ascii="Acumin Pro" w:hAnsi="Acumin Pro"/>
                <w:b/>
                <w:sz w:val="20"/>
                <w:szCs w:val="20"/>
              </w:rPr>
              <w:t>Temat:</w:t>
            </w:r>
            <w:r w:rsidRPr="0020232D">
              <w:rPr>
                <w:rFonts w:ascii="Acumin Pro" w:hAnsi="Acumin Pro"/>
                <w:sz w:val="20"/>
                <w:szCs w:val="20"/>
              </w:rPr>
              <w:t xml:space="preserve">  Dostarczenie do siedziby Zmawiającego </w:t>
            </w:r>
            <w:r w:rsidR="000441EE" w:rsidRPr="0020232D">
              <w:rPr>
                <w:rFonts w:ascii="Acumin Pro" w:hAnsi="Acumin Pro"/>
                <w:sz w:val="20"/>
                <w:szCs w:val="20"/>
              </w:rPr>
              <w:t>aktualizacji</w:t>
            </w:r>
            <w:r w:rsidRPr="0020232D">
              <w:rPr>
                <w:rFonts w:ascii="Acumin Pro" w:hAnsi="Acumin Pro" w:cstheme="minorHAnsi"/>
                <w:sz w:val="20"/>
                <w:szCs w:val="20"/>
              </w:rPr>
              <w:t xml:space="preserve"> (</w:t>
            </w:r>
            <w:proofErr w:type="spellStart"/>
            <w:r w:rsidRPr="0020232D">
              <w:rPr>
                <w:rFonts w:ascii="Acumin Pro" w:hAnsi="Acumin Pro" w:cstheme="minorHAnsi"/>
                <w:sz w:val="20"/>
                <w:szCs w:val="20"/>
              </w:rPr>
              <w:t>upgrade</w:t>
            </w:r>
            <w:proofErr w:type="spellEnd"/>
            <w:r w:rsidRPr="0020232D">
              <w:rPr>
                <w:rFonts w:ascii="Acumin Pro" w:hAnsi="Acumin Pro" w:cstheme="minorHAnsi"/>
                <w:sz w:val="20"/>
                <w:szCs w:val="20"/>
              </w:rPr>
              <w:t>) istniejącej licencji systemu Honeywell  BMS EBI o numerze 27653 do najnowszej dostępnej wersji systemu Honeywell (system zarządzający dla systemów SSP i bezpieczeństwa)</w:t>
            </w:r>
            <w:r w:rsidR="000441EE" w:rsidRPr="0020232D">
              <w:rPr>
                <w:rFonts w:ascii="Acumin Pro" w:hAnsi="Acumin Pro" w:cstheme="minorHAnsi"/>
                <w:sz w:val="20"/>
                <w:szCs w:val="20"/>
              </w:rPr>
              <w:t xml:space="preserve"> oraz urządzeń BMS</w:t>
            </w:r>
            <w:r w:rsidRPr="0020232D">
              <w:rPr>
                <w:rFonts w:ascii="Acumin Pro" w:hAnsi="Acumin Pro" w:cstheme="minorHAnsi"/>
                <w:sz w:val="20"/>
                <w:szCs w:val="20"/>
              </w:rPr>
              <w:t>.</w:t>
            </w:r>
          </w:p>
          <w:p w:rsidR="003B0086" w:rsidRPr="0020232D" w:rsidRDefault="003B0086" w:rsidP="0020232D">
            <w:pPr>
              <w:pStyle w:val="Tekstpodstawowy"/>
              <w:spacing w:line="276" w:lineRule="auto"/>
              <w:rPr>
                <w:rFonts w:ascii="Acumin Pro" w:hAnsi="Acumin Pro"/>
                <w:b/>
                <w:color w:val="FF0000"/>
                <w:sz w:val="20"/>
                <w:szCs w:val="20"/>
              </w:rPr>
            </w:pPr>
            <w:r w:rsidRPr="0020232D">
              <w:rPr>
                <w:rFonts w:ascii="Acumin Pro" w:hAnsi="Acumin Pro"/>
                <w:b/>
                <w:sz w:val="20"/>
                <w:szCs w:val="20"/>
              </w:rPr>
              <w:lastRenderedPageBreak/>
              <w:t xml:space="preserve">Wspólny Słownik Zamówień: </w:t>
            </w:r>
            <w:r w:rsidRPr="0020232D">
              <w:rPr>
                <w:rFonts w:ascii="Acumin Pro" w:hAnsi="Acumin Pro"/>
                <w:sz w:val="20"/>
                <w:szCs w:val="20"/>
              </w:rPr>
              <w:t>31625200-5 – Systemy przeciwpożarowe.</w:t>
            </w:r>
          </w:p>
          <w:p w:rsidR="003B0086" w:rsidRPr="0020232D" w:rsidRDefault="003B0086" w:rsidP="0020232D">
            <w:pPr>
              <w:pStyle w:val="Tekstpodstawowy"/>
              <w:spacing w:line="276" w:lineRule="auto"/>
              <w:rPr>
                <w:rFonts w:ascii="Acumin Pro" w:hAnsi="Acumin Pro"/>
                <w:sz w:val="20"/>
                <w:szCs w:val="20"/>
              </w:rPr>
            </w:pPr>
            <w:r w:rsidRPr="0020232D">
              <w:rPr>
                <w:rFonts w:ascii="Acumin Pro" w:hAnsi="Acumin Pro"/>
                <w:b/>
                <w:sz w:val="20"/>
                <w:szCs w:val="20"/>
              </w:rPr>
              <w:t xml:space="preserve">Opis: </w:t>
            </w:r>
            <w:r w:rsidRPr="0020232D">
              <w:rPr>
                <w:rFonts w:ascii="Acumin Pro" w:hAnsi="Acumin Pro"/>
                <w:sz w:val="20"/>
                <w:szCs w:val="20"/>
              </w:rPr>
              <w:t>W ramach I części zamówienia Wykonawca zobowiązany jest do: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  <w:t>aktualizacji oprogramowania, tj.: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  <w:t>przeniesienia kompletnej istniejącej bazy danych do nowej licencji, bez jakiejkolwiek utraty danych, z zachowaniem wszystkich zainstalowanych interfejsów,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  <w:t>przeniesienia/zaktualizowania systemu grafik obsługujących wizualizację procesów,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  <w:t>przeniesienia struktury raportów oraz alarmów,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  <w:t xml:space="preserve">dostarczenia i skonfigurowania nowego serwera systemu BMS, zgodnego z wymaganymi parametrami dla nowej wersji systemu Honeywell </w:t>
            </w:r>
            <w:r w:rsidRPr="0020232D">
              <w:rPr>
                <w:rFonts w:ascii="Acumin Pro" w:eastAsia="Times New Roman" w:hAnsi="Acumin Pro" w:cstheme="minorHAnsi"/>
                <w:sz w:val="20"/>
                <w:szCs w:val="20"/>
                <w:u w:val="single"/>
                <w:lang w:val="pl-PL" w:eastAsia="pl-PL"/>
              </w:rPr>
              <w:t>EBI R600</w:t>
            </w:r>
            <w:r w:rsidRPr="0020232D"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  <w:t xml:space="preserve"> lub nowszej (specyfikacja minimalnych parametrów poniżej; ostateczna weryfikacja sprzętu wymaga uzgodnienia z producentem oprogramowania, który gwarantuje poprawność funkcjonowania systemu sprzętowo-programowego), na którym zostanie zainstalowana zaktualizowana licencja. Serwer systemu BMS będzie pełnił jednocześnie rolę stacji operatorskiej systemu BMS,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  <w:t xml:space="preserve">wyposażenia serwera – obok aktualizowanej licencji Honeywell EBI - w oprogramowanie Windows, MS Office (Excel), 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Acumin Pro" w:eastAsia="Times New Roman" w:hAnsi="Acumin Pro" w:cstheme="minorHAnsi"/>
                <w:sz w:val="20"/>
                <w:szCs w:val="20"/>
                <w:u w:val="single"/>
                <w:lang w:val="pl-PL" w:eastAsia="pl-PL"/>
              </w:rPr>
            </w:pPr>
            <w:r w:rsidRPr="0020232D"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  <w:t>zapewnienia wsparcia producenta systemu BMS, który jest modernizowany oraz aktualny certyfikat autoryzacji obejmujący wszystkie wersje systemu EBI, aż do wersji najnowszej na dzień dostarczenia włącznie.</w:t>
            </w:r>
            <w:r w:rsidRPr="0020232D">
              <w:rPr>
                <w:rFonts w:ascii="Acumin Pro" w:eastAsia="Times New Roman" w:hAnsi="Acumin Pro" w:cstheme="minorHAnsi"/>
                <w:sz w:val="20"/>
                <w:szCs w:val="20"/>
                <w:highlight w:val="yellow"/>
                <w:u w:val="single"/>
                <w:lang w:val="pl-PL" w:eastAsia="pl-PL"/>
              </w:rPr>
              <w:t xml:space="preserve"> </w:t>
            </w:r>
          </w:p>
          <w:p w:rsidR="003B0086" w:rsidRPr="0020232D" w:rsidRDefault="003B0086" w:rsidP="0020232D">
            <w:pPr>
              <w:spacing w:line="276" w:lineRule="auto"/>
              <w:rPr>
                <w:rFonts w:ascii="Acumin Pro" w:eastAsia="Times New Roman" w:hAnsi="Acumin Pro" w:cstheme="minorHAnsi"/>
                <w:sz w:val="20"/>
                <w:szCs w:val="20"/>
                <w:u w:val="single"/>
                <w:lang w:val="pl-PL" w:eastAsia="pl-PL"/>
              </w:rPr>
            </w:pPr>
          </w:p>
          <w:p w:rsidR="003B0086" w:rsidRPr="0020232D" w:rsidRDefault="003B0086" w:rsidP="0020232D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  <w:t>dostarczenia urządzeń serwera BMS o parametrach:</w:t>
            </w:r>
          </w:p>
          <w:p w:rsidR="003B0086" w:rsidRPr="0020232D" w:rsidRDefault="003B0086" w:rsidP="0020232D">
            <w:pPr>
              <w:spacing w:line="276" w:lineRule="auto"/>
              <w:ind w:left="284"/>
              <w:jc w:val="both"/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</w:pPr>
            <w:bookmarkStart w:id="2" w:name="_Hlk82526564"/>
            <w:r w:rsidRPr="0020232D"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  <w:t xml:space="preserve">Komputer według konfiguracji spełniającej wymagania serwera systemu EBI </w:t>
            </w:r>
            <w:bookmarkStart w:id="3" w:name="_Hlk79701613"/>
            <w:r w:rsidRPr="0020232D"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  <w:t>w dostarczanej wersji licencji</w:t>
            </w:r>
            <w:bookmarkEnd w:id="3"/>
            <w:r w:rsidRPr="0020232D"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  <w:t>, o parametrach nie niższych niż: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 w:line="276" w:lineRule="auto"/>
              <w:ind w:left="644"/>
              <w:rPr>
                <w:color w:val="auto"/>
                <w:lang w:val="pl-PL"/>
              </w:rPr>
            </w:pPr>
            <w:r w:rsidRPr="0020232D">
              <w:rPr>
                <w:lang w:val="pl-PL"/>
              </w:rPr>
              <w:t xml:space="preserve">Procesor wielordzeniowy osiągający minimum 14200 pkt w rankingu </w:t>
            </w:r>
            <w:proofErr w:type="spellStart"/>
            <w:r w:rsidRPr="0020232D">
              <w:rPr>
                <w:lang w:val="pl-PL"/>
              </w:rPr>
              <w:t>PassMark</w:t>
            </w:r>
            <w:proofErr w:type="spellEnd"/>
            <w:r w:rsidRPr="0020232D">
              <w:rPr>
                <w:lang w:val="pl-PL"/>
              </w:rPr>
              <w:t xml:space="preserve"> dostępnym na stronie: </w:t>
            </w:r>
            <w:hyperlink r:id="rId8" w:history="1">
              <w:r w:rsidRPr="0020232D">
                <w:rPr>
                  <w:rStyle w:val="Hipercze"/>
                  <w:lang w:val="pl-PL"/>
                </w:rPr>
                <w:t>https://www.cpubenchmark.net/cpu_list.php</w:t>
              </w:r>
            </w:hyperlink>
            <w:r w:rsidRPr="0020232D">
              <w:rPr>
                <w:lang w:val="pl-PL"/>
              </w:rPr>
              <w:t xml:space="preserve">,  minimum 10 rdzeni, liczba wątków 20, taktowanie procesora 2,20 </w:t>
            </w:r>
            <w:proofErr w:type="spellStart"/>
            <w:r w:rsidRPr="0020232D">
              <w:rPr>
                <w:lang w:val="pl-PL"/>
              </w:rPr>
              <w:t>Ghz</w:t>
            </w:r>
            <w:proofErr w:type="spellEnd"/>
            <w:r w:rsidRPr="0020232D">
              <w:rPr>
                <w:lang w:val="pl-PL"/>
              </w:rPr>
              <w:t>, procesor cache 13,75 MB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644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>Pamięć RAM- min. 16 GB RDIMM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644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 xml:space="preserve">System RAID- </w:t>
            </w:r>
            <w:proofErr w:type="spellStart"/>
            <w:r w:rsidRPr="0020232D">
              <w:rPr>
                <w:color w:val="auto"/>
                <w:lang w:val="pl-PL"/>
              </w:rPr>
              <w:t>Perc</w:t>
            </w:r>
            <w:proofErr w:type="spellEnd"/>
            <w:r w:rsidRPr="0020232D">
              <w:rPr>
                <w:color w:val="auto"/>
                <w:lang w:val="pl-PL"/>
              </w:rPr>
              <w:t xml:space="preserve"> H330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644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>Dyski twarde- min. 2x 480GB SSD w RAID-1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644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 xml:space="preserve">Zintegrowana karta graficzna 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644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>Komunikacja- karta sieciowa Dual Port 1Gb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644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 xml:space="preserve">System operacyjny– Windows Server 2019 z opcja DOWNGRADE do Windows Server 2016 Standard, </w:t>
            </w:r>
            <w:proofErr w:type="spellStart"/>
            <w:r w:rsidRPr="0020232D">
              <w:rPr>
                <w:color w:val="auto"/>
                <w:lang w:val="pl-PL"/>
              </w:rPr>
              <w:t>iDrac</w:t>
            </w:r>
            <w:proofErr w:type="spellEnd"/>
            <w:r w:rsidRPr="0020232D">
              <w:rPr>
                <w:color w:val="auto"/>
                <w:lang w:val="pl-PL"/>
              </w:rPr>
              <w:t xml:space="preserve"> Enterprise,  redundantny zasilacz,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644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>Klawiatura i mysz- QWERTY, obsługująca standardowy język programisty, numeryczna</w:t>
            </w:r>
          </w:p>
          <w:bookmarkEnd w:id="2"/>
          <w:p w:rsidR="003B0086" w:rsidRPr="0020232D" w:rsidRDefault="003B0086" w:rsidP="0020232D">
            <w:pPr>
              <w:pStyle w:val="MNP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644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>Gwarancja - min. 36 miesięcy</w:t>
            </w:r>
          </w:p>
          <w:p w:rsidR="003B0086" w:rsidRPr="0020232D" w:rsidRDefault="003B0086" w:rsidP="0020232D">
            <w:pPr>
              <w:pStyle w:val="MNPTre"/>
              <w:spacing w:after="0" w:line="276" w:lineRule="auto"/>
              <w:rPr>
                <w:color w:val="auto"/>
                <w:lang w:val="pl-PL"/>
              </w:rPr>
            </w:pPr>
          </w:p>
          <w:p w:rsidR="003B0086" w:rsidRPr="0020232D" w:rsidRDefault="003B0086" w:rsidP="0020232D">
            <w:pPr>
              <w:pStyle w:val="MNPTre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hanging="720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>dostarczenia stacji BMS (komputer 2 szt.) o parametrach: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  <w:t xml:space="preserve">Stacja operatorska – komputer według konfiguracji spełniającej wymagania stacji systemu EBI w dostarczanej wersji licencji – komputer typu mini </w:t>
            </w:r>
            <w:proofErr w:type="spellStart"/>
            <w:r w:rsidRPr="0020232D"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  <w:t>tower</w:t>
            </w:r>
            <w:proofErr w:type="spellEnd"/>
            <w:r w:rsidRPr="0020232D">
              <w:rPr>
                <w:rFonts w:ascii="Acumin Pro" w:eastAsia="Times New Roman" w:hAnsi="Acumin Pro" w:cstheme="minorHAnsi"/>
                <w:sz w:val="20"/>
                <w:szCs w:val="20"/>
                <w:lang w:val="pl-PL" w:eastAsia="pl-PL"/>
              </w:rPr>
              <w:t xml:space="preserve">    o parametrach nie niższych niż: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 w:line="276" w:lineRule="auto"/>
              <w:ind w:left="993" w:hanging="284"/>
              <w:jc w:val="left"/>
              <w:rPr>
                <w:lang w:val="pl-PL"/>
              </w:rPr>
            </w:pPr>
            <w:r w:rsidRPr="0020232D">
              <w:rPr>
                <w:lang w:val="pl-PL"/>
              </w:rPr>
              <w:t xml:space="preserve">Procesor wielordzeniowy osiągający minimum 17200 pkt w rankingu </w:t>
            </w:r>
            <w:proofErr w:type="spellStart"/>
            <w:r w:rsidRPr="0020232D">
              <w:rPr>
                <w:lang w:val="pl-PL"/>
              </w:rPr>
              <w:t>PassMark</w:t>
            </w:r>
            <w:proofErr w:type="spellEnd"/>
            <w:r w:rsidRPr="0020232D">
              <w:rPr>
                <w:lang w:val="pl-PL"/>
              </w:rPr>
              <w:t xml:space="preserve"> dostępnym na stronie: </w:t>
            </w:r>
            <w:hyperlink r:id="rId9" w:history="1">
              <w:r w:rsidRPr="0020232D">
                <w:rPr>
                  <w:rStyle w:val="Hipercze"/>
                  <w:lang w:val="pl-PL"/>
                </w:rPr>
                <w:t>https://www.cpubenchmark.net/cpu_list.php</w:t>
              </w:r>
            </w:hyperlink>
            <w:r w:rsidRPr="0020232D">
              <w:rPr>
                <w:lang w:val="pl-PL"/>
              </w:rPr>
              <w:t xml:space="preserve">, minimum 8 rdzeni, taktowanie procesora minimum 2,90 </w:t>
            </w:r>
            <w:proofErr w:type="spellStart"/>
            <w:r w:rsidRPr="0020232D">
              <w:rPr>
                <w:lang w:val="pl-PL"/>
              </w:rPr>
              <w:t>Ghz</w:t>
            </w:r>
            <w:proofErr w:type="spellEnd"/>
            <w:r w:rsidRPr="0020232D">
              <w:rPr>
                <w:lang w:val="pl-PL"/>
              </w:rPr>
              <w:t>, procesor cache 16M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993" w:hanging="284"/>
              <w:jc w:val="left"/>
              <w:rPr>
                <w:color w:val="000000" w:themeColor="text1"/>
                <w:lang w:val="pl-PL"/>
              </w:rPr>
            </w:pPr>
            <w:r w:rsidRPr="0020232D">
              <w:rPr>
                <w:color w:val="000000" w:themeColor="text1"/>
                <w:lang w:val="pl-PL"/>
              </w:rPr>
              <w:t>Pamięć RAM- min. 16 GB RDIMM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993" w:hanging="284"/>
              <w:rPr>
                <w:color w:val="000000" w:themeColor="text1"/>
                <w:lang w:val="pl-PL"/>
              </w:rPr>
            </w:pPr>
            <w:r w:rsidRPr="0020232D">
              <w:rPr>
                <w:color w:val="000000" w:themeColor="text1"/>
                <w:lang w:val="pl-PL"/>
              </w:rPr>
              <w:t xml:space="preserve"> Dyski twarde- min. 2x 256 GB SSD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993" w:hanging="284"/>
              <w:rPr>
                <w:color w:val="000000" w:themeColor="text1"/>
                <w:lang w:val="pl-PL"/>
              </w:rPr>
            </w:pPr>
            <w:r w:rsidRPr="0020232D">
              <w:rPr>
                <w:color w:val="000000" w:themeColor="text1"/>
                <w:lang w:val="pl-PL"/>
              </w:rPr>
              <w:t xml:space="preserve"> Zintegrowana karta graficzna,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993" w:hanging="284"/>
              <w:rPr>
                <w:color w:val="000000" w:themeColor="text1"/>
                <w:lang w:val="pl-PL"/>
              </w:rPr>
            </w:pPr>
            <w:r w:rsidRPr="0020232D">
              <w:rPr>
                <w:color w:val="000000" w:themeColor="text1"/>
                <w:lang w:val="pl-PL"/>
              </w:rPr>
              <w:t xml:space="preserve">System operacyjny – Windows 10 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993" w:hanging="284"/>
              <w:rPr>
                <w:color w:val="000000" w:themeColor="text1"/>
                <w:lang w:val="pl-PL"/>
              </w:rPr>
            </w:pPr>
            <w:r w:rsidRPr="0020232D">
              <w:rPr>
                <w:color w:val="000000" w:themeColor="text1"/>
                <w:lang w:val="pl-PL"/>
              </w:rPr>
              <w:lastRenderedPageBreak/>
              <w:t>Klawiatura i mysz- QWERTY, obsługująca standardowy język programisty, numeryczna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993" w:hanging="284"/>
              <w:rPr>
                <w:color w:val="000000" w:themeColor="text1"/>
                <w:lang w:val="pl-PL"/>
              </w:rPr>
            </w:pPr>
            <w:r w:rsidRPr="0020232D">
              <w:rPr>
                <w:color w:val="000000" w:themeColor="text1"/>
                <w:lang w:val="pl-PL"/>
              </w:rPr>
              <w:t>Gwarancja- min. 36 miesięcy</w:t>
            </w:r>
          </w:p>
          <w:p w:rsidR="003B0086" w:rsidRPr="0020232D" w:rsidRDefault="003B0086" w:rsidP="0020232D">
            <w:pPr>
              <w:pStyle w:val="MNPTre"/>
              <w:spacing w:after="0" w:line="276" w:lineRule="auto"/>
              <w:rPr>
                <w:color w:val="FF0000"/>
                <w:u w:val="single"/>
                <w:lang w:val="pl-PL"/>
              </w:rPr>
            </w:pPr>
          </w:p>
          <w:p w:rsidR="003B0086" w:rsidRPr="0020232D" w:rsidRDefault="003B0086" w:rsidP="0020232D">
            <w:pPr>
              <w:pStyle w:val="MNPTre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>dostarczenia 2 szt. monitorów o parametrach: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1068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>Przekątna ekranu- min. 23,8”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1068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>Rodzaj matrycy- LED, IPS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1068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>Typ ekranu- płaski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1068"/>
              <w:rPr>
                <w:color w:val="auto"/>
                <w:lang w:val="pl-PL"/>
              </w:rPr>
            </w:pPr>
            <w:proofErr w:type="spellStart"/>
            <w:r w:rsidRPr="0020232D">
              <w:rPr>
                <w:color w:val="auto"/>
                <w:lang w:val="pl-PL"/>
              </w:rPr>
              <w:t>Rozdzieloczść</w:t>
            </w:r>
            <w:proofErr w:type="spellEnd"/>
            <w:r w:rsidRPr="0020232D">
              <w:rPr>
                <w:color w:val="auto"/>
                <w:lang w:val="pl-PL"/>
              </w:rPr>
              <w:t xml:space="preserve"> ekranu- min. 1920x1080 (</w:t>
            </w:r>
            <w:proofErr w:type="spellStart"/>
            <w:r w:rsidRPr="0020232D">
              <w:rPr>
                <w:color w:val="auto"/>
                <w:lang w:val="pl-PL"/>
              </w:rPr>
              <w:t>FullHD</w:t>
            </w:r>
            <w:proofErr w:type="spellEnd"/>
            <w:r w:rsidRPr="0020232D">
              <w:rPr>
                <w:color w:val="auto"/>
                <w:lang w:val="pl-PL"/>
              </w:rPr>
              <w:t>)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1068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>Format obrazu- 16:9</w:t>
            </w:r>
          </w:p>
          <w:p w:rsidR="003B0086" w:rsidRPr="0020232D" w:rsidRDefault="003B0086" w:rsidP="0020232D">
            <w:pPr>
              <w:pStyle w:val="MNPTre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1068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 xml:space="preserve">Częstotliwość odświeżania ekranu- min. 60 </w:t>
            </w:r>
            <w:proofErr w:type="spellStart"/>
            <w:r w:rsidRPr="0020232D">
              <w:rPr>
                <w:color w:val="auto"/>
                <w:lang w:val="pl-PL"/>
              </w:rPr>
              <w:t>Hz</w:t>
            </w:r>
            <w:proofErr w:type="spellEnd"/>
          </w:p>
          <w:p w:rsidR="003B0086" w:rsidRPr="0020232D" w:rsidRDefault="003B0086" w:rsidP="0020232D">
            <w:pPr>
              <w:pStyle w:val="MNPTre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left="1068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>Jasność- min. 200 cd/m</w:t>
            </w:r>
            <w:r w:rsidRPr="0020232D">
              <w:rPr>
                <w:color w:val="auto"/>
                <w:vertAlign w:val="superscript"/>
                <w:lang w:val="pl-PL"/>
              </w:rPr>
              <w:t>2</w:t>
            </w:r>
          </w:p>
          <w:p w:rsidR="003B0086" w:rsidRPr="0020232D" w:rsidRDefault="003B0086" w:rsidP="0020232D">
            <w:pPr>
              <w:pStyle w:val="Tekstpodstawowy"/>
              <w:spacing w:line="276" w:lineRule="auto"/>
              <w:ind w:firstLine="457"/>
              <w:rPr>
                <w:rFonts w:ascii="Acumin Pro" w:hAnsi="Acumin Pro"/>
                <w:sz w:val="20"/>
                <w:szCs w:val="20"/>
              </w:rPr>
            </w:pPr>
            <w:r w:rsidRPr="0020232D">
              <w:rPr>
                <w:rFonts w:ascii="Acumin Pro" w:hAnsi="Acumin Pro"/>
                <w:sz w:val="20"/>
                <w:szCs w:val="20"/>
              </w:rPr>
              <w:t>Gwarancja- min.  36 miesięcy</w:t>
            </w:r>
          </w:p>
          <w:p w:rsidR="003B0086" w:rsidRPr="0020232D" w:rsidRDefault="003B0086" w:rsidP="0020232D">
            <w:pPr>
              <w:pStyle w:val="Tekstpodstawowy"/>
              <w:spacing w:line="276" w:lineRule="auto"/>
              <w:rPr>
                <w:rFonts w:ascii="Acumin Pro" w:hAnsi="Acumin Pro"/>
                <w:b/>
                <w:sz w:val="20"/>
                <w:szCs w:val="20"/>
              </w:rPr>
            </w:pPr>
            <w:r w:rsidRPr="0020232D">
              <w:rPr>
                <w:rFonts w:ascii="Acumin Pro" w:hAnsi="Acumin Pro"/>
                <w:sz w:val="20"/>
                <w:szCs w:val="20"/>
              </w:rPr>
              <w:t xml:space="preserve">Informacje dotyczące oferty wariantowej, o której mowa w art. 92 ustawy </w:t>
            </w:r>
            <w:proofErr w:type="spellStart"/>
            <w:r w:rsidRPr="0020232D">
              <w:rPr>
                <w:rFonts w:ascii="Acumin Pro" w:hAnsi="Acumin Pro"/>
                <w:sz w:val="20"/>
                <w:szCs w:val="20"/>
              </w:rPr>
              <w:t>Pzp</w:t>
            </w:r>
            <w:proofErr w:type="spellEnd"/>
            <w:r w:rsidRPr="0020232D">
              <w:rPr>
                <w:rFonts w:ascii="Acumin Pro" w:hAnsi="Acumin Pro"/>
                <w:sz w:val="20"/>
                <w:szCs w:val="20"/>
              </w:rPr>
              <w:t>:</w:t>
            </w:r>
          </w:p>
          <w:p w:rsidR="003B0086" w:rsidRPr="0020232D" w:rsidRDefault="003B0086" w:rsidP="0020232D">
            <w:pPr>
              <w:pStyle w:val="Tekstpodstawowy"/>
              <w:spacing w:line="276" w:lineRule="auto"/>
              <w:rPr>
                <w:rFonts w:ascii="Acumin Pro" w:hAnsi="Acumin Pro"/>
                <w:sz w:val="20"/>
                <w:szCs w:val="20"/>
              </w:rPr>
            </w:pPr>
            <w:r w:rsidRPr="0020232D">
              <w:rPr>
                <w:rFonts w:ascii="Acumin Pro" w:hAnsi="Acumin Pro"/>
                <w:b/>
                <w:sz w:val="20"/>
                <w:szCs w:val="20"/>
              </w:rPr>
              <w:t>Zamawiający nie dopuszcza składania ofert wariantowych</w:t>
            </w:r>
            <w:r w:rsidRPr="0020232D">
              <w:rPr>
                <w:rFonts w:ascii="Acumin Pro" w:hAnsi="Acumin Pro"/>
                <w:sz w:val="20"/>
                <w:szCs w:val="20"/>
              </w:rPr>
              <w:t xml:space="preserve">. </w:t>
            </w:r>
          </w:p>
        </w:tc>
      </w:tr>
      <w:tr w:rsidR="003B0086" w:rsidRPr="001D1C49" w:rsidTr="00F67436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6" w:rsidRPr="0020232D" w:rsidRDefault="003B0086" w:rsidP="0020232D">
            <w:pPr>
              <w:pStyle w:val="Tekstpodstawowy"/>
              <w:spacing w:line="276" w:lineRule="auto"/>
              <w:jc w:val="right"/>
              <w:rPr>
                <w:rFonts w:ascii="Acumin Pro" w:hAnsi="Acumin Pro"/>
                <w:sz w:val="20"/>
                <w:szCs w:val="20"/>
              </w:rPr>
            </w:pPr>
            <w:r w:rsidRPr="0020232D">
              <w:rPr>
                <w:rFonts w:ascii="Acumin Pro" w:hAnsi="Acumin Pro"/>
                <w:sz w:val="20"/>
                <w:szCs w:val="20"/>
              </w:rPr>
              <w:lastRenderedPageBreak/>
              <w:t>2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6" w:rsidRPr="0020232D" w:rsidRDefault="003B0086" w:rsidP="0020232D">
            <w:pPr>
              <w:pStyle w:val="Tekstpodstawowy"/>
              <w:spacing w:line="276" w:lineRule="auto"/>
              <w:rPr>
                <w:rFonts w:ascii="Acumin Pro" w:hAnsi="Acumin Pro"/>
                <w:sz w:val="20"/>
                <w:szCs w:val="20"/>
              </w:rPr>
            </w:pPr>
            <w:r w:rsidRPr="0020232D">
              <w:rPr>
                <w:rFonts w:ascii="Acumin Pro" w:hAnsi="Acumin Pro"/>
                <w:b/>
                <w:sz w:val="20"/>
                <w:szCs w:val="20"/>
              </w:rPr>
              <w:t>Temat:</w:t>
            </w:r>
            <w:r w:rsidRPr="0020232D">
              <w:rPr>
                <w:rFonts w:ascii="Acumin Pro" w:hAnsi="Acumin Pro"/>
                <w:sz w:val="20"/>
                <w:szCs w:val="20"/>
              </w:rPr>
              <w:t xml:space="preserve"> Dostarczenie do siedziby Zamawiającego  nowych urządzeń do systemu oddymiania i napowietrzenia klatki schodowej. </w:t>
            </w:r>
          </w:p>
          <w:p w:rsidR="003B0086" w:rsidRPr="0020232D" w:rsidRDefault="003B0086" w:rsidP="0020232D">
            <w:pPr>
              <w:pStyle w:val="Tekstpodstawowy"/>
              <w:spacing w:line="276" w:lineRule="auto"/>
              <w:rPr>
                <w:rFonts w:ascii="Acumin Pro" w:hAnsi="Acumin Pro"/>
                <w:b/>
                <w:sz w:val="20"/>
                <w:szCs w:val="20"/>
              </w:rPr>
            </w:pPr>
            <w:r w:rsidRPr="0020232D">
              <w:rPr>
                <w:rFonts w:ascii="Acumin Pro" w:hAnsi="Acumin Pro"/>
                <w:b/>
                <w:sz w:val="20"/>
                <w:szCs w:val="20"/>
              </w:rPr>
              <w:t xml:space="preserve">Wspólny Słownik Zamówień: </w:t>
            </w:r>
            <w:r w:rsidRPr="0020232D">
              <w:rPr>
                <w:rFonts w:ascii="Acumin Pro" w:hAnsi="Acumin Pro"/>
                <w:sz w:val="20"/>
                <w:szCs w:val="20"/>
              </w:rPr>
              <w:t xml:space="preserve">31625200-5 – Systemy przeciwpożarowe </w:t>
            </w:r>
          </w:p>
          <w:p w:rsidR="003B0086" w:rsidRPr="0020232D" w:rsidRDefault="003B0086" w:rsidP="0020232D">
            <w:pPr>
              <w:pStyle w:val="Tekstpodstawowy"/>
              <w:spacing w:line="276" w:lineRule="auto"/>
              <w:rPr>
                <w:rFonts w:ascii="Acumin Pro" w:hAnsi="Acumin Pro"/>
                <w:sz w:val="20"/>
                <w:szCs w:val="20"/>
              </w:rPr>
            </w:pPr>
            <w:r w:rsidRPr="0020232D">
              <w:rPr>
                <w:rFonts w:ascii="Acumin Pro" w:hAnsi="Acumin Pro"/>
                <w:b/>
                <w:sz w:val="20"/>
                <w:szCs w:val="20"/>
              </w:rPr>
              <w:t xml:space="preserve">Opis: </w:t>
            </w:r>
            <w:r w:rsidRPr="0020232D">
              <w:rPr>
                <w:rFonts w:ascii="Acumin Pro" w:hAnsi="Acumin Pro"/>
                <w:sz w:val="20"/>
                <w:szCs w:val="20"/>
              </w:rPr>
              <w:t>W ramach II części zamówienia Wykonawca zobowiązany jest do:</w:t>
            </w:r>
          </w:p>
          <w:p w:rsidR="003B0086" w:rsidRPr="0020232D" w:rsidRDefault="003B0086" w:rsidP="0020232D">
            <w:pPr>
              <w:pStyle w:val="MNPTre"/>
              <w:numPr>
                <w:ilvl w:val="3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2880"/>
                <w:tab w:val="left" w:pos="142"/>
              </w:tabs>
              <w:spacing w:after="0" w:line="276" w:lineRule="auto"/>
              <w:ind w:left="426" w:hanging="329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>dostarczenia centrali systemu oddymiania i napowietrzania o parametrach nie mniejszych niż: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Modułowa centrala sterująca systemami oddymiania i naturalnej wentylacji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Zgodna z normą EN 12101-10:2005 + AC:2007 określającą zasilanie w systemach kontroli rozprzestrzeniania się dymu i ciepła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Możliwość stosowania w sieci </w:t>
            </w:r>
            <w:proofErr w:type="spellStart"/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AdComNet</w:t>
            </w:r>
            <w:proofErr w:type="spellEnd"/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Całkowity prąd napędów do 16 A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Do zastosowania w małych i średnich obiektach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Obsługa dwóch stref oddymiania, np. klatek schodowych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Wyposażona w jedno wolne gniazdo wtykowe na dodatkowe moduły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Obsługuje dwie strefy oddymiania (2 linie, 3 grupy)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Pozwala na podłączenie do 8 przycisków oddymiania i 14 czujek pożarowych na linię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Umożliwia bezpośrednie podłączenie czujek pogodowych i chwytaków elektromagnetycznych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Możliwe zaprogramowanie różnych funkcji, np. dla alarmu i uszkodzenia,  ograniczenie wysuwu i czasu dla wentylacji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Monitorowanie przewodów pod kątem zwarcia i przerwy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Zasilanie 230VAC/50Hz/ 500 VA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Moc w stanie gotowości  13,6 W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Wyjście 24 V DC/16A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Tętnienie resztkowe 2 </w:t>
            </w:r>
            <w:proofErr w:type="spellStart"/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Vss</w:t>
            </w:r>
            <w:proofErr w:type="spellEnd"/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Tryb pracy „Dozór” -  praca ciągłą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Tryb pracy „Alarm/Wentylacja – Praca krótkotrwała, 30% ED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Stopień ochrony IP 54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Zakres temperatur -5</w:t>
            </w: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vertAlign w:val="superscript"/>
                <w:lang w:val="pl-PL" w:eastAsia="pl-PL"/>
              </w:rPr>
              <w:t>o</w:t>
            </w: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C do + 40</w:t>
            </w: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vertAlign w:val="superscript"/>
                <w:lang w:val="pl-PL" w:eastAsia="pl-PL"/>
              </w:rPr>
              <w:t>o</w:t>
            </w: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 C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Linia/Grupa 2/3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Obudowa  - blacha stalowa</w:t>
            </w:r>
          </w:p>
          <w:p w:rsidR="003B0086" w:rsidRPr="0020232D" w:rsidRDefault="003B0086" w:rsidP="0020232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lastRenderedPageBreak/>
              <w:t>S x W x G  - 500 x 500 x 210 mm</w:t>
            </w:r>
          </w:p>
          <w:p w:rsidR="003B0086" w:rsidRPr="0020232D" w:rsidRDefault="003B0086" w:rsidP="0020232D">
            <w:pPr>
              <w:pStyle w:val="MNPTre"/>
              <w:numPr>
                <w:ilvl w:val="3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76" w:lineRule="auto"/>
              <w:ind w:hanging="2738"/>
              <w:rPr>
                <w:color w:val="auto"/>
                <w:lang w:val="pl-PL"/>
              </w:rPr>
            </w:pPr>
            <w:r w:rsidRPr="0020232D">
              <w:rPr>
                <w:color w:val="auto"/>
                <w:lang w:val="pl-PL"/>
              </w:rPr>
              <w:t xml:space="preserve">dostarczenia centrali </w:t>
            </w:r>
            <w:r w:rsidRPr="0020232D">
              <w:rPr>
                <w:rFonts w:eastAsia="Times New Roman" w:cs="Times New Roman"/>
                <w:color w:val="000000" w:themeColor="text1"/>
                <w:lang w:val="pl-PL"/>
              </w:rPr>
              <w:t xml:space="preserve">sterującej systemami oddymiania i naturalnej wentylacji </w:t>
            </w:r>
            <w:r w:rsidRPr="0020232D">
              <w:rPr>
                <w:color w:val="auto"/>
                <w:lang w:val="pl-PL"/>
              </w:rPr>
              <w:t xml:space="preserve">           (2 szt.) o parametrach: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Modułowa centrala sterująca systemami oddymiania i naturalnej wentylacji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Zgodna z normą EN 12101-10:2005 + AC:2007 określająca zasilanie w systemach kontroli rozprzestrzeniania się dymu i ciepła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Możliwość stosowania w sieci </w:t>
            </w:r>
            <w:proofErr w:type="spellStart"/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AdComNet</w:t>
            </w:r>
            <w:proofErr w:type="spellEnd"/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Całkowity prąd napędów do 8 A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Do zastosowania w małych i średnich obiektach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Wyposażona w jedno wolne gniazdo wtykowe na dodatkowe moduły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Obsługuje dwie strefy oddymiania (2 linie, 3 grupy)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Pozwala na podłączenie do 8 przycisków oddymiania i 14 czujek pożarowych na linię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Umożliwia bezpośrednie podłączenie czujek pogodowych i chwytaków elektromagnetycznych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Możliwe zaprogramowanie różnych funkcji, np. dla alarmu i uszkodzenia, ograniczenie wysuwu i czasu dla wentylacji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Monitorowanie przewodów pod kątem zwarcia i przerwy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Zasilanie 230VAC/50Hz/ 240 VA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Moc w stanie gotowości  5 W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Wyjście 24 V DC/8A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Tętnienie resztkowe 2 </w:t>
            </w:r>
            <w:proofErr w:type="spellStart"/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Vss</w:t>
            </w:r>
            <w:proofErr w:type="spellEnd"/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Tryb pracy „Dozór” -  praca ciągłą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Tryb pracy „Alarm/Wentylacja – Praca krótkotrwała, 30% ED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Stopień ochrony IP 54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Zakres temperatur -10</w:t>
            </w: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vertAlign w:val="superscript"/>
                <w:lang w:val="pl-PL" w:eastAsia="pl-PL"/>
              </w:rPr>
              <w:t>o</w:t>
            </w: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C do + 55</w:t>
            </w: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vertAlign w:val="superscript"/>
                <w:lang w:val="pl-PL" w:eastAsia="pl-PL"/>
              </w:rPr>
              <w:t>o</w:t>
            </w: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 C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Linia/Grupa 2/3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Obudowa  - Tworzywo sztuczne ze stalowymi drzwiami</w:t>
            </w:r>
          </w:p>
          <w:p w:rsidR="003B0086" w:rsidRPr="0020232D" w:rsidRDefault="003B0086" w:rsidP="0020232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S x W x G  (310 x 310 x 100 mm)</w:t>
            </w:r>
          </w:p>
          <w:p w:rsidR="003B0086" w:rsidRPr="0020232D" w:rsidRDefault="003B0086" w:rsidP="0020232D">
            <w:pPr>
              <w:pStyle w:val="Akapitzlist"/>
              <w:numPr>
                <w:ilvl w:val="3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426" w:hanging="284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dostarczenia 1 czujki deszczu na 24 V DC, kompatybilnej z centralami o parametrach:</w:t>
            </w:r>
          </w:p>
          <w:p w:rsidR="003B0086" w:rsidRPr="0020232D" w:rsidRDefault="003B0086" w:rsidP="0020232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Do detekcji deszczu w systemach na 24 V DC</w:t>
            </w:r>
          </w:p>
          <w:p w:rsidR="003B0086" w:rsidRPr="0020232D" w:rsidRDefault="003B0086" w:rsidP="0020232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Ogrzewana powierzchnia czujki</w:t>
            </w:r>
          </w:p>
          <w:p w:rsidR="003B0086" w:rsidRPr="0020232D" w:rsidRDefault="003B0086" w:rsidP="0020232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Sygnał deszczu zapamiętywany przez 2 minuty</w:t>
            </w:r>
          </w:p>
          <w:p w:rsidR="003B0086" w:rsidRPr="0020232D" w:rsidRDefault="003B0086" w:rsidP="0020232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Zasilanie 24 V DC / 0,2 A</w:t>
            </w:r>
          </w:p>
          <w:p w:rsidR="003B0086" w:rsidRPr="0020232D" w:rsidRDefault="003B0086" w:rsidP="0020232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Stopień ochrony IP 65</w:t>
            </w:r>
          </w:p>
          <w:p w:rsidR="003B0086" w:rsidRPr="0020232D" w:rsidRDefault="003B0086" w:rsidP="0020232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Zakres temperatur -20 °C ... +60 °C</w:t>
            </w:r>
          </w:p>
          <w:p w:rsidR="003B0086" w:rsidRPr="0020232D" w:rsidRDefault="003B0086" w:rsidP="0020232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Kolor Szary (RAL ~7035)</w:t>
            </w:r>
          </w:p>
          <w:p w:rsidR="003B0086" w:rsidRPr="0020232D" w:rsidRDefault="003B0086" w:rsidP="0020232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S x W x G  (85 x 150 x 110 mm)</w:t>
            </w:r>
          </w:p>
          <w:p w:rsidR="003B0086" w:rsidRPr="0020232D" w:rsidRDefault="003B0086" w:rsidP="0020232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Waga 0,50 kg</w:t>
            </w:r>
          </w:p>
          <w:p w:rsidR="003B0086" w:rsidRPr="0020232D" w:rsidRDefault="003B0086" w:rsidP="0020232D">
            <w:pPr>
              <w:pStyle w:val="Akapitzlist"/>
              <w:numPr>
                <w:ilvl w:val="3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426" w:hanging="284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dostarczenia 3 szt. przycisków oddymiania  o parametrach:</w:t>
            </w:r>
          </w:p>
          <w:p w:rsidR="003B0086" w:rsidRPr="0020232D" w:rsidRDefault="003B0086" w:rsidP="0020232D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Przyciski oddymiania przeznaczone do central systemu oddymiania 24 V DC </w:t>
            </w:r>
          </w:p>
          <w:p w:rsidR="003B0086" w:rsidRPr="0020232D" w:rsidRDefault="003B0086" w:rsidP="0020232D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Wyświetlają informacje o stanie pracy (dozór, alarm, uszkodzenie)</w:t>
            </w:r>
          </w:p>
          <w:p w:rsidR="003B0086" w:rsidRPr="0020232D" w:rsidRDefault="003B0086" w:rsidP="0020232D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Zamykana, wytrzymała natynkowa obudowa z aluminiowego odlewu ciśnieniowego</w:t>
            </w:r>
          </w:p>
          <w:p w:rsidR="003B0086" w:rsidRPr="0020232D" w:rsidRDefault="003B0086" w:rsidP="0020232D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Wymienne oznakowanie w 32 językach.</w:t>
            </w:r>
          </w:p>
          <w:p w:rsidR="003B0086" w:rsidRPr="0020232D" w:rsidRDefault="003B0086" w:rsidP="0020232D">
            <w:pPr>
              <w:pStyle w:val="Akapitzlist"/>
              <w:numPr>
                <w:ilvl w:val="3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426" w:hanging="329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lastRenderedPageBreak/>
              <w:t xml:space="preserve">Dostarczenia 3 szt. Modułów przekaźnikowych </w:t>
            </w:r>
            <w:proofErr w:type="spellStart"/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bezpotencjałowych</w:t>
            </w:r>
            <w:proofErr w:type="spellEnd"/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20232D">
              <w:rPr>
                <w:rFonts w:ascii="Acumin Pro" w:eastAsia="Times New Roman" w:hAnsi="Acumin Pro"/>
                <w:b/>
                <w:bCs/>
                <w:color w:val="000000" w:themeColor="text1"/>
                <w:sz w:val="20"/>
                <w:szCs w:val="20"/>
                <w:lang w:val="pl-PL" w:eastAsia="pl-PL"/>
              </w:rPr>
              <w:t>NO/NC</w:t>
            </w: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 przeznaczonych do zdalnej sygnalizacji uszkodzenia i  alarmu o parametrach: 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moduł przekaźnika odłączającego 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2 </w:t>
            </w:r>
            <w:proofErr w:type="spellStart"/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bezpotencjałowe</w:t>
            </w:r>
            <w:proofErr w:type="spellEnd"/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 zestyki </w:t>
            </w:r>
            <w:proofErr w:type="spellStart"/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przełączne</w:t>
            </w:r>
            <w:proofErr w:type="spellEnd"/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, maks. 230V/5A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do zabudowy w miejscu wtykowym E1/E2 centrali </w:t>
            </w: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br/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426" w:hanging="284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dostarczenia 2 szt. Przekaźników odłączających o parametrach: </w:t>
            </w:r>
          </w:p>
          <w:p w:rsidR="003B0086" w:rsidRPr="0020232D" w:rsidRDefault="003B0086" w:rsidP="0020232D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Zdublowany </w:t>
            </w:r>
            <w:proofErr w:type="spellStart"/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bezpotencjałowy</w:t>
            </w:r>
            <w:proofErr w:type="spellEnd"/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 zestyk </w:t>
            </w:r>
            <w:proofErr w:type="spellStart"/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przełączny</w:t>
            </w:r>
            <w:proofErr w:type="spellEnd"/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, maks. 230 VAC/5 A</w:t>
            </w:r>
          </w:p>
          <w:p w:rsidR="003B0086" w:rsidRPr="0020232D" w:rsidRDefault="003B0086" w:rsidP="0020232D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Wersja na szynę „ typ omega” (szerokość: 16 mm)</w:t>
            </w:r>
          </w:p>
          <w:p w:rsidR="003B0086" w:rsidRPr="0020232D" w:rsidRDefault="003B0086" w:rsidP="0020232D">
            <w:pPr>
              <w:spacing w:line="276" w:lineRule="auto"/>
              <w:ind w:left="720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spacing w:line="276" w:lineRule="auto"/>
              <w:ind w:left="426" w:hanging="284"/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</w:pPr>
            <w:r w:rsidRPr="0020232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>dostarczenia 2 szt. przycisków oddymiania i przewietrzania o parametrach:</w:t>
            </w:r>
          </w:p>
          <w:p w:rsidR="003B0086" w:rsidRPr="0020232D" w:rsidRDefault="003B0086" w:rsidP="0020232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Przyciski oddymiania przeznaczone do central systemu oddymiania 24 V DC </w:t>
            </w:r>
          </w:p>
          <w:p w:rsidR="003B0086" w:rsidRPr="0020232D" w:rsidRDefault="003B0086" w:rsidP="0020232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Wyświetlają informacje o stanie pracy (dozór, alarm, uszkodzenie)</w:t>
            </w:r>
          </w:p>
          <w:p w:rsidR="003B0086" w:rsidRPr="0020232D" w:rsidRDefault="003B0086" w:rsidP="0020232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Zintegrowane przyciski do wentylacji</w:t>
            </w:r>
          </w:p>
          <w:p w:rsidR="003B0086" w:rsidRPr="0020232D" w:rsidRDefault="003B0086" w:rsidP="0020232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Zamykana, wytrzymała natynkowa obudowa z aluminiowego odlewu ciśnieniowego</w:t>
            </w:r>
          </w:p>
          <w:p w:rsidR="003B0086" w:rsidRPr="0020232D" w:rsidRDefault="003B0086" w:rsidP="0020232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Wymienne oznakowanie w 32 językach</w:t>
            </w:r>
          </w:p>
          <w:p w:rsidR="003B0086" w:rsidRPr="0020232D" w:rsidRDefault="003B0086" w:rsidP="0020232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Style w:val="Pogrubienie"/>
                <w:rFonts w:ascii="Acumin Pro" w:eastAsia="Times New Roman" w:hAnsi="Acumin Pro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Style w:val="Pogrubienie"/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>Napięcie pracy 18 do 28 VC</w:t>
            </w:r>
          </w:p>
          <w:p w:rsidR="003B0086" w:rsidRPr="0020232D" w:rsidRDefault="003B0086" w:rsidP="0020232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Style w:val="Pogrubienie"/>
                <w:rFonts w:ascii="Acumin Pro" w:eastAsia="Times New Roman" w:hAnsi="Acumin Pro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Style w:val="Pogrubienie"/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>Stopień ochrony  IP 40</w:t>
            </w:r>
          </w:p>
          <w:p w:rsidR="003B0086" w:rsidRPr="0020232D" w:rsidRDefault="003B0086" w:rsidP="0020232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Style w:val="Pogrubienie"/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 xml:space="preserve">Zakres temperatur </w:t>
            </w:r>
            <w:r w:rsidRPr="0020232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>-5 do+40ºC</w:t>
            </w:r>
          </w:p>
          <w:p w:rsidR="003B0086" w:rsidRPr="0020232D" w:rsidRDefault="003B0086" w:rsidP="0020232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Style w:val="Pogrubienie"/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 xml:space="preserve">Materiał </w:t>
            </w:r>
            <w:r w:rsidRPr="0020232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>Aluminium odlew ciśnieniowy</w:t>
            </w:r>
          </w:p>
          <w:p w:rsidR="003B0086" w:rsidRPr="0020232D" w:rsidRDefault="003B0086" w:rsidP="0020232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Style w:val="Pogrubienie"/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 xml:space="preserve">Kolor </w:t>
            </w:r>
            <w:r w:rsidRPr="0020232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>Pomarańczowy</w:t>
            </w:r>
          </w:p>
          <w:p w:rsidR="003B0086" w:rsidRPr="0020232D" w:rsidRDefault="003B0086" w:rsidP="0020232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Style w:val="Pogrubienie"/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 xml:space="preserve">Wymiary </w:t>
            </w:r>
            <w:r w:rsidRPr="0020232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>129x138x39 [mm]</w:t>
            </w:r>
          </w:p>
          <w:p w:rsidR="003B0086" w:rsidRPr="0020232D" w:rsidRDefault="003B0086" w:rsidP="0020232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Style w:val="Pogrubienie"/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 xml:space="preserve">Waga </w:t>
            </w:r>
            <w:r w:rsidRPr="0020232D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>0.31 kg.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ind w:left="426" w:hanging="284"/>
              <w:jc w:val="both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Dostarczenia przetwornicy napięciowej służącej do zasilania silnika wentylatora pożarowego i urządzeń elektrycznych wymagających napięcia przemiennego 230 V z akumulatorów o napięciu stałym 12 V lub 24 V lub 48 V, służąca jako awaryjne źródło energii dla urządzeń wymagających ciągłego zasilania o cechach o parametrach :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276" w:lineRule="auto"/>
              <w:ind w:left="709" w:hanging="283"/>
              <w:jc w:val="both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Moc ciągła do - 1000 W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276" w:lineRule="auto"/>
              <w:ind w:left="709" w:hanging="283"/>
              <w:jc w:val="both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Moc impulsowa - 1500 W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276" w:lineRule="auto"/>
              <w:ind w:left="709" w:hanging="283"/>
              <w:jc w:val="both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Napięcie wyjściowe - 230V 50Hz/0,5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276" w:lineRule="auto"/>
              <w:ind w:left="709" w:hanging="283"/>
              <w:jc w:val="both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Przebieg napięcia - czysty Sinus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276" w:lineRule="auto"/>
              <w:ind w:left="709" w:hanging="283"/>
              <w:jc w:val="both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Wyposażona w prostownik i UPS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276" w:lineRule="auto"/>
              <w:ind w:left="709" w:hanging="283"/>
              <w:jc w:val="both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Automatyczny regulator napięcia sieci AVR 140 – 275 VAC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276" w:lineRule="auto"/>
              <w:ind w:left="709" w:hanging="283"/>
              <w:jc w:val="both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Zabezpieczenie przed zwarciem – automatyczne wyłączenie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276" w:lineRule="auto"/>
              <w:ind w:left="709" w:hanging="283"/>
              <w:jc w:val="both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Obudowa umożliwiająca montaż na ścianie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276" w:lineRule="auto"/>
              <w:ind w:left="709" w:hanging="283"/>
              <w:jc w:val="both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Możliwość całkowitego odłączenia prostownika sieciowego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276" w:lineRule="auto"/>
              <w:ind w:left="709" w:hanging="283"/>
              <w:jc w:val="both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 xml:space="preserve">Wyświetlacz LCD pokazujący aktualne napięcie sieci, stan naładowania akumulatorów, napięcie oraz natężenie prądu </w:t>
            </w:r>
          </w:p>
          <w:p w:rsidR="003B0086" w:rsidRPr="0020232D" w:rsidRDefault="003B0086" w:rsidP="0020232D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276" w:lineRule="auto"/>
              <w:ind w:left="709" w:hanging="283"/>
              <w:jc w:val="both"/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</w:pPr>
            <w:r w:rsidRPr="0020232D">
              <w:rPr>
                <w:rFonts w:ascii="Acumin Pro" w:eastAsia="Times New Roman" w:hAnsi="Acumin Pro"/>
                <w:color w:val="000000" w:themeColor="text1"/>
                <w:sz w:val="20"/>
                <w:szCs w:val="20"/>
                <w:lang w:val="pl-PL" w:eastAsia="pl-PL"/>
              </w:rPr>
              <w:t>Wyposażenie w akumulatory minimum 100 Ah</w:t>
            </w:r>
          </w:p>
          <w:p w:rsidR="003B0086" w:rsidRPr="0020232D" w:rsidRDefault="003B0086" w:rsidP="0020232D">
            <w:pPr>
              <w:pStyle w:val="Tekstpodstawowy"/>
              <w:spacing w:line="276" w:lineRule="auto"/>
              <w:rPr>
                <w:rFonts w:ascii="Acumin Pro" w:hAnsi="Acumin Pro"/>
                <w:sz w:val="20"/>
                <w:szCs w:val="20"/>
              </w:rPr>
            </w:pPr>
            <w:r w:rsidRPr="0020232D">
              <w:rPr>
                <w:rFonts w:ascii="Acumin Pro" w:hAnsi="Acumin Pro"/>
                <w:color w:val="000000" w:themeColor="text1"/>
                <w:sz w:val="20"/>
                <w:szCs w:val="20"/>
              </w:rPr>
              <w:t>Gwarancja min. 36 miesięcy.</w:t>
            </w:r>
          </w:p>
          <w:p w:rsidR="003B0086" w:rsidRPr="0020232D" w:rsidRDefault="003B0086" w:rsidP="0020232D">
            <w:pPr>
              <w:pStyle w:val="Tekstpodstawowy"/>
              <w:spacing w:line="276" w:lineRule="auto"/>
              <w:rPr>
                <w:rFonts w:ascii="Acumin Pro" w:hAnsi="Acumin Pro"/>
                <w:b/>
                <w:sz w:val="20"/>
                <w:szCs w:val="20"/>
              </w:rPr>
            </w:pPr>
            <w:r w:rsidRPr="0020232D">
              <w:rPr>
                <w:rFonts w:ascii="Acumin Pro" w:hAnsi="Acumin Pro"/>
                <w:sz w:val="20"/>
                <w:szCs w:val="20"/>
              </w:rPr>
              <w:t xml:space="preserve">Informacje dotyczące oferty wariantowej, o której mowa w art. 92 ustawy </w:t>
            </w:r>
            <w:proofErr w:type="spellStart"/>
            <w:r w:rsidRPr="0020232D">
              <w:rPr>
                <w:rFonts w:ascii="Acumin Pro" w:hAnsi="Acumin Pro"/>
                <w:sz w:val="20"/>
                <w:szCs w:val="20"/>
              </w:rPr>
              <w:t>Pzp</w:t>
            </w:r>
            <w:proofErr w:type="spellEnd"/>
            <w:r w:rsidRPr="0020232D">
              <w:rPr>
                <w:rFonts w:ascii="Acumin Pro" w:hAnsi="Acumin Pro"/>
                <w:sz w:val="20"/>
                <w:szCs w:val="20"/>
              </w:rPr>
              <w:t>:</w:t>
            </w:r>
          </w:p>
          <w:p w:rsidR="003B0086" w:rsidRPr="0020232D" w:rsidRDefault="003B0086" w:rsidP="0020232D">
            <w:pPr>
              <w:pStyle w:val="Tekstpodstawowy"/>
              <w:spacing w:line="276" w:lineRule="auto"/>
              <w:rPr>
                <w:rFonts w:ascii="Acumin Pro" w:hAnsi="Acumin Pro"/>
                <w:sz w:val="20"/>
                <w:szCs w:val="20"/>
              </w:rPr>
            </w:pPr>
            <w:r w:rsidRPr="0020232D">
              <w:rPr>
                <w:rFonts w:ascii="Acumin Pro" w:hAnsi="Acumin Pro"/>
                <w:b/>
                <w:sz w:val="20"/>
                <w:szCs w:val="20"/>
              </w:rPr>
              <w:t>Zamawiający nie dopuszcza składania ofert wariantowych</w:t>
            </w:r>
            <w:r w:rsidRPr="0020232D">
              <w:rPr>
                <w:rFonts w:ascii="Acumin Pro" w:hAnsi="Acumin Pro"/>
                <w:sz w:val="20"/>
                <w:szCs w:val="20"/>
              </w:rPr>
              <w:t>.</w:t>
            </w:r>
            <w:r w:rsidR="000C2F44">
              <w:rPr>
                <w:rFonts w:ascii="Acumin Pro" w:hAnsi="Acumin Pro"/>
                <w:sz w:val="20"/>
                <w:szCs w:val="20"/>
              </w:rPr>
              <w:t>”</w:t>
            </w:r>
            <w:r w:rsidRPr="0020232D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</w:tc>
      </w:tr>
    </w:tbl>
    <w:p w:rsidR="0016120E" w:rsidRPr="0020232D" w:rsidRDefault="0016120E" w:rsidP="0020232D">
      <w:pPr>
        <w:pStyle w:val="MNPTre"/>
        <w:spacing w:line="276" w:lineRule="auto"/>
        <w:rPr>
          <w:lang w:val="pl-PL"/>
        </w:rPr>
      </w:pPr>
    </w:p>
    <w:p w:rsidR="00BF2A76" w:rsidRPr="0020232D" w:rsidRDefault="000C2F44" w:rsidP="000C2F44">
      <w:pPr>
        <w:pStyle w:val="MNPTre"/>
        <w:numPr>
          <w:ilvl w:val="0"/>
          <w:numId w:val="5"/>
        </w:numPr>
        <w:tabs>
          <w:tab w:val="clear" w:pos="720"/>
          <w:tab w:val="left" w:pos="0"/>
        </w:tabs>
        <w:spacing w:after="120" w:line="276" w:lineRule="auto"/>
        <w:ind w:left="360"/>
        <w:rPr>
          <w:lang w:val="pl-PL"/>
        </w:rPr>
      </w:pPr>
      <w:r>
        <w:rPr>
          <w:lang w:val="pl-PL"/>
        </w:rPr>
        <w:lastRenderedPageBreak/>
        <w:t>z</w:t>
      </w:r>
      <w:r w:rsidR="00BF2A76" w:rsidRPr="0020232D">
        <w:rPr>
          <w:lang w:val="pl-PL"/>
        </w:rPr>
        <w:t>mienia</w:t>
      </w:r>
      <w:r>
        <w:rPr>
          <w:lang w:val="pl-PL"/>
        </w:rPr>
        <w:t xml:space="preserve"> się</w:t>
      </w:r>
      <w:r w:rsidR="00686C0D" w:rsidRPr="0020232D">
        <w:rPr>
          <w:lang w:val="pl-PL"/>
        </w:rPr>
        <w:t xml:space="preserve"> </w:t>
      </w:r>
      <w:r w:rsidR="00B72E2A" w:rsidRPr="0020232D">
        <w:rPr>
          <w:lang w:val="pl-PL"/>
        </w:rPr>
        <w:t>termin składania ofert. O</w:t>
      </w:r>
      <w:r w:rsidR="00BF2A76" w:rsidRPr="0020232D">
        <w:rPr>
          <w:lang w:val="pl-PL"/>
        </w:rPr>
        <w:t>dpowiednio pkt. 1 i 2 działu XIV</w:t>
      </w:r>
      <w:r w:rsidR="00686C0D" w:rsidRPr="0020232D">
        <w:rPr>
          <w:lang w:val="pl-PL"/>
        </w:rPr>
        <w:t xml:space="preserve"> SWZ</w:t>
      </w:r>
      <w:r>
        <w:rPr>
          <w:lang w:val="pl-PL"/>
        </w:rPr>
        <w:t xml:space="preserve"> otrzymują następujące </w:t>
      </w:r>
      <w:r w:rsidR="00BF2A76" w:rsidRPr="0020232D">
        <w:rPr>
          <w:lang w:val="pl-PL"/>
        </w:rPr>
        <w:t>brzmienie:</w:t>
      </w:r>
    </w:p>
    <w:p w:rsidR="00BF2A76" w:rsidRPr="0020232D" w:rsidRDefault="00BF2A76" w:rsidP="000C2F44">
      <w:pPr>
        <w:pStyle w:val="MNPTre"/>
        <w:spacing w:after="120" w:line="276" w:lineRule="auto"/>
        <w:rPr>
          <w:b/>
          <w:lang w:val="pl-PL"/>
        </w:rPr>
      </w:pPr>
      <w:r w:rsidRPr="0020232D">
        <w:rPr>
          <w:lang w:val="pl-PL"/>
        </w:rPr>
        <w:t>„</w:t>
      </w:r>
      <w:r w:rsidR="000C2F44">
        <w:rPr>
          <w:lang w:val="pl-PL"/>
        </w:rPr>
        <w:t xml:space="preserve"> </w:t>
      </w:r>
      <w:r w:rsidRPr="0020232D">
        <w:rPr>
          <w:lang w:val="pl-PL"/>
        </w:rPr>
        <w:t xml:space="preserve">1. Ofertę należy złożyć w terminie </w:t>
      </w:r>
      <w:r w:rsidRPr="0020232D">
        <w:rPr>
          <w:b/>
          <w:lang w:val="pl-PL"/>
        </w:rPr>
        <w:t>do dnia 15.10.2021 r. do godz. 11:00.</w:t>
      </w:r>
    </w:p>
    <w:p w:rsidR="00BF2A76" w:rsidRDefault="00BF2A76" w:rsidP="000C2F44">
      <w:pPr>
        <w:pStyle w:val="MNPTre"/>
        <w:numPr>
          <w:ilvl w:val="0"/>
          <w:numId w:val="12"/>
        </w:numPr>
        <w:tabs>
          <w:tab w:val="clear" w:pos="720"/>
          <w:tab w:val="left" w:pos="284"/>
        </w:tabs>
        <w:spacing w:after="120" w:line="276" w:lineRule="auto"/>
        <w:ind w:hanging="578"/>
        <w:rPr>
          <w:lang w:val="pl-PL"/>
        </w:rPr>
      </w:pPr>
      <w:r w:rsidRPr="0020232D">
        <w:rPr>
          <w:lang w:val="pl-PL"/>
        </w:rPr>
        <w:t>Otwar</w:t>
      </w:r>
      <w:r w:rsidR="00686C0D" w:rsidRPr="0020232D">
        <w:rPr>
          <w:lang w:val="pl-PL"/>
        </w:rPr>
        <w:t xml:space="preserve">cie ofert odbędzie się </w:t>
      </w:r>
      <w:r w:rsidR="00686C0D" w:rsidRPr="0020232D">
        <w:rPr>
          <w:b/>
          <w:lang w:val="pl-PL"/>
        </w:rPr>
        <w:t>w dniu 15</w:t>
      </w:r>
      <w:r w:rsidRPr="0020232D">
        <w:rPr>
          <w:b/>
          <w:lang w:val="pl-PL"/>
        </w:rPr>
        <w:t>.10.2021 r. o godz. 12:00</w:t>
      </w:r>
      <w:r w:rsidRPr="0020232D">
        <w:rPr>
          <w:lang w:val="pl-PL"/>
        </w:rPr>
        <w:t>”</w:t>
      </w:r>
    </w:p>
    <w:p w:rsidR="000C2F44" w:rsidRPr="0020232D" w:rsidRDefault="000C2F44" w:rsidP="000C2F44">
      <w:pPr>
        <w:pStyle w:val="MNPTre"/>
        <w:tabs>
          <w:tab w:val="clear" w:pos="720"/>
          <w:tab w:val="left" w:pos="284"/>
        </w:tabs>
        <w:spacing w:after="120" w:line="276" w:lineRule="auto"/>
        <w:ind w:left="720"/>
        <w:rPr>
          <w:lang w:val="pl-PL"/>
        </w:rPr>
      </w:pPr>
    </w:p>
    <w:p w:rsidR="00BF2A76" w:rsidRPr="0020232D" w:rsidRDefault="000C2F44" w:rsidP="000C2F44">
      <w:pPr>
        <w:pStyle w:val="MNPTre"/>
        <w:numPr>
          <w:ilvl w:val="0"/>
          <w:numId w:val="5"/>
        </w:numPr>
        <w:spacing w:after="120" w:line="276" w:lineRule="auto"/>
        <w:ind w:left="360"/>
      </w:pPr>
      <w:r>
        <w:t>z</w:t>
      </w:r>
      <w:r w:rsidR="00686C0D" w:rsidRPr="0020232D">
        <w:t xml:space="preserve">mianie ulega termin związania ofertą. Pkt. 1 działu XII </w:t>
      </w:r>
      <w:r>
        <w:t xml:space="preserve">SWZ </w:t>
      </w:r>
      <w:r w:rsidR="00686C0D" w:rsidRPr="0020232D">
        <w:t xml:space="preserve">otrymuje </w:t>
      </w:r>
      <w:r>
        <w:t xml:space="preserve">następujące </w:t>
      </w:r>
      <w:r w:rsidR="00686C0D" w:rsidRPr="0020232D">
        <w:t>brzmienie:</w:t>
      </w:r>
    </w:p>
    <w:p w:rsidR="00686C0D" w:rsidRPr="0020232D" w:rsidRDefault="00686C0D" w:rsidP="000C2F44">
      <w:pPr>
        <w:pStyle w:val="MNPTre"/>
        <w:spacing w:after="120" w:line="276" w:lineRule="auto"/>
      </w:pPr>
      <w:r w:rsidRPr="0020232D">
        <w:t>“1. Wykonawca jest zwiazany ofertą od dnia upływu terminu składania ofert do dnai 13.11.2021 r.”</w:t>
      </w:r>
    </w:p>
    <w:p w:rsidR="00686C0D" w:rsidRPr="0020232D" w:rsidRDefault="00686C0D" w:rsidP="000C2F44">
      <w:pPr>
        <w:pStyle w:val="MNPTre"/>
        <w:spacing w:after="120" w:line="276" w:lineRule="auto"/>
      </w:pPr>
    </w:p>
    <w:p w:rsidR="00B72E2A" w:rsidRPr="0020232D" w:rsidRDefault="00B72E2A" w:rsidP="000C2F44">
      <w:pPr>
        <w:pStyle w:val="MNPTre"/>
        <w:numPr>
          <w:ilvl w:val="0"/>
          <w:numId w:val="5"/>
        </w:numPr>
        <w:spacing w:after="120" w:line="276" w:lineRule="auto"/>
        <w:ind w:left="360"/>
      </w:pPr>
      <w:r w:rsidRPr="0020232D">
        <w:t>pkt. 3 działu XX</w:t>
      </w:r>
      <w:r w:rsidR="000C2F44">
        <w:t xml:space="preserve"> SWZ otrzymuje następujące brzmienie</w:t>
      </w:r>
      <w:r w:rsidRPr="0020232D">
        <w:t>:</w:t>
      </w:r>
    </w:p>
    <w:p w:rsidR="00B72E2A" w:rsidRPr="0020232D" w:rsidRDefault="0024549B" w:rsidP="000C2F44">
      <w:pPr>
        <w:pStyle w:val="MNPTre"/>
        <w:spacing w:after="120" w:line="276" w:lineRule="auto"/>
        <w:rPr>
          <w:lang w:val="pl-PL"/>
        </w:rPr>
      </w:pPr>
      <w:r w:rsidRPr="0020232D">
        <w:t>“</w:t>
      </w:r>
      <w:r w:rsidR="0020232D">
        <w:t xml:space="preserve">3. </w:t>
      </w:r>
      <w:r w:rsidRPr="0020232D">
        <w:rPr>
          <w:lang w:val="pl-PL"/>
        </w:rPr>
        <w:t xml:space="preserve">Dostarczenie do siedziby Zmawiającego </w:t>
      </w:r>
      <w:r w:rsidRPr="0020232D">
        <w:rPr>
          <w:rFonts w:eastAsia="Times New Roman" w:cstheme="minorHAnsi"/>
          <w:lang w:val="pl-PL"/>
        </w:rPr>
        <w:t>aktualizacji (</w:t>
      </w:r>
      <w:proofErr w:type="spellStart"/>
      <w:r w:rsidRPr="0020232D">
        <w:rPr>
          <w:rFonts w:eastAsia="Times New Roman" w:cstheme="minorHAnsi"/>
          <w:lang w:val="pl-PL"/>
        </w:rPr>
        <w:t>upgrade</w:t>
      </w:r>
      <w:proofErr w:type="spellEnd"/>
      <w:r w:rsidRPr="0020232D">
        <w:rPr>
          <w:rFonts w:eastAsia="Times New Roman" w:cstheme="minorHAnsi"/>
          <w:lang w:val="pl-PL"/>
        </w:rPr>
        <w:t xml:space="preserve">) istniejącej licencji systemu Honeywell  BMS EBI o numerze 27653 do najnowszej dostępnej wersji systemu Honeywell (system zarządzający dla systemów SSP i bezpieczeństwa) oraz </w:t>
      </w:r>
      <w:r w:rsidRPr="0020232D">
        <w:rPr>
          <w:lang w:val="pl-PL"/>
        </w:rPr>
        <w:t>nowych urządzeń do systemu oddymiania  i napowietrzenia klatki schodowej”.</w:t>
      </w:r>
    </w:p>
    <w:p w:rsidR="0024549B" w:rsidRPr="0020232D" w:rsidRDefault="0024549B" w:rsidP="0020232D">
      <w:pPr>
        <w:pStyle w:val="MNPTre"/>
        <w:spacing w:after="120" w:line="276" w:lineRule="auto"/>
        <w:rPr>
          <w:b/>
          <w:lang w:val="pl-PL"/>
        </w:rPr>
      </w:pPr>
    </w:p>
    <w:p w:rsidR="0024549B" w:rsidRPr="0020232D" w:rsidRDefault="0024549B" w:rsidP="0020232D">
      <w:pPr>
        <w:pStyle w:val="MNPTre"/>
        <w:spacing w:after="120" w:line="276" w:lineRule="auto"/>
      </w:pPr>
    </w:p>
    <w:p w:rsidR="00686C0D" w:rsidRPr="0020232D" w:rsidRDefault="00686C0D" w:rsidP="0020232D">
      <w:pPr>
        <w:pStyle w:val="MNPTre"/>
        <w:spacing w:after="120" w:line="276" w:lineRule="auto"/>
      </w:pPr>
      <w:r w:rsidRPr="0020232D">
        <w:t>Załączniki:</w:t>
      </w:r>
    </w:p>
    <w:p w:rsidR="00686C0D" w:rsidRPr="0020232D" w:rsidRDefault="00543390" w:rsidP="0020232D">
      <w:pPr>
        <w:pStyle w:val="MNPTre"/>
        <w:numPr>
          <w:ilvl w:val="0"/>
          <w:numId w:val="23"/>
        </w:numPr>
        <w:spacing w:after="120" w:line="276" w:lineRule="auto"/>
      </w:pPr>
      <w:r w:rsidRPr="0020232D">
        <w:t>Ujednolicona (ze zmianami) SWZ,</w:t>
      </w:r>
    </w:p>
    <w:p w:rsidR="00543390" w:rsidRPr="0020232D" w:rsidRDefault="00543390" w:rsidP="0020232D">
      <w:pPr>
        <w:pStyle w:val="MNPTre"/>
        <w:numPr>
          <w:ilvl w:val="0"/>
          <w:numId w:val="23"/>
        </w:numPr>
        <w:spacing w:after="120" w:line="276" w:lineRule="auto"/>
      </w:pPr>
      <w:r w:rsidRPr="0020232D">
        <w:t>Zmieniony w zakresie nazwy postępowania</w:t>
      </w:r>
      <w:r w:rsidR="00B72E2A" w:rsidRPr="0020232D">
        <w:t xml:space="preserve"> załącznik nr 1 - </w:t>
      </w:r>
      <w:r w:rsidRPr="0020232D">
        <w:t xml:space="preserve"> formularz ofertowy</w:t>
      </w:r>
      <w:r w:rsidR="00B72E2A" w:rsidRPr="0020232D">
        <w:t>,</w:t>
      </w:r>
    </w:p>
    <w:p w:rsidR="00B72E2A" w:rsidRPr="0020232D" w:rsidRDefault="00B72E2A" w:rsidP="0020232D">
      <w:pPr>
        <w:pStyle w:val="MNPTre"/>
        <w:numPr>
          <w:ilvl w:val="0"/>
          <w:numId w:val="23"/>
        </w:numPr>
        <w:spacing w:after="120" w:line="276" w:lineRule="auto"/>
      </w:pPr>
      <w:r w:rsidRPr="0020232D">
        <w:t>Zmieniony w zakresie nazwy postępowania załącznik nr 2 – oświadczenie z art. 125. 1</w:t>
      </w:r>
    </w:p>
    <w:p w:rsidR="00B72E2A" w:rsidRPr="0020232D" w:rsidRDefault="00B72E2A" w:rsidP="0020232D">
      <w:pPr>
        <w:pStyle w:val="MNPTre"/>
        <w:numPr>
          <w:ilvl w:val="0"/>
          <w:numId w:val="23"/>
        </w:numPr>
        <w:spacing w:after="120" w:line="276" w:lineRule="auto"/>
      </w:pPr>
      <w:r w:rsidRPr="0020232D">
        <w:t xml:space="preserve">Zmieniony w zakresie nazwy postępowania załącznik nr </w:t>
      </w:r>
      <w:r w:rsidR="0024549B" w:rsidRPr="0020232D">
        <w:t>3 – zobowiazanie podmiotu udostępniajacego zasoby</w:t>
      </w:r>
    </w:p>
    <w:p w:rsidR="0024549B" w:rsidRPr="0020232D" w:rsidRDefault="0024549B" w:rsidP="0020232D">
      <w:pPr>
        <w:pStyle w:val="MNPTre"/>
        <w:numPr>
          <w:ilvl w:val="0"/>
          <w:numId w:val="23"/>
        </w:numPr>
        <w:spacing w:after="120" w:line="276" w:lineRule="auto"/>
      </w:pPr>
      <w:r w:rsidRPr="0020232D">
        <w:t xml:space="preserve">Zmieniony w zakresie nazwy postępowania załącznik nr 4 </w:t>
      </w:r>
      <w:r w:rsidR="008F0A13" w:rsidRPr="0020232D">
        <w:t xml:space="preserve"> - wzór umowy</w:t>
      </w:r>
    </w:p>
    <w:p w:rsidR="0020232D" w:rsidRPr="0020232D" w:rsidRDefault="008F0A13" w:rsidP="0020232D">
      <w:pPr>
        <w:pStyle w:val="Nagwek"/>
        <w:numPr>
          <w:ilvl w:val="0"/>
          <w:numId w:val="23"/>
        </w:numPr>
        <w:spacing w:line="276" w:lineRule="auto"/>
        <w:jc w:val="both"/>
        <w:rPr>
          <w:rFonts w:ascii="Acumin Pro" w:hAnsi="Acumin Pro" w:cs="Arial"/>
          <w:bCs/>
          <w:sz w:val="20"/>
          <w:szCs w:val="20"/>
          <w:lang w:val="pl-PL"/>
        </w:rPr>
      </w:pPr>
      <w:r w:rsidRPr="0020232D">
        <w:rPr>
          <w:rFonts w:ascii="Acumin Pro" w:hAnsi="Acumin Pro"/>
          <w:sz w:val="20"/>
          <w:szCs w:val="20"/>
          <w:lang w:val="pl-PL"/>
        </w:rPr>
        <w:t xml:space="preserve">Zmieniony w zakresie nazwy postępowania złącznik nr 5 - </w:t>
      </w:r>
      <w:r w:rsidR="0020232D" w:rsidRPr="0020232D">
        <w:rPr>
          <w:rFonts w:ascii="Acumin Pro" w:hAnsi="Acumin Pro" w:cs="Arial"/>
          <w:bCs/>
          <w:sz w:val="20"/>
          <w:szCs w:val="20"/>
          <w:lang w:val="pl-PL"/>
        </w:rPr>
        <w:t>Oświadczenie podmiotów wspólnie ubiegających się o udzielenie zamówienia</w:t>
      </w:r>
      <w:r w:rsidR="0020232D">
        <w:rPr>
          <w:rFonts w:ascii="Acumin Pro" w:hAnsi="Acumin Pro" w:cs="Arial"/>
          <w:bCs/>
          <w:sz w:val="20"/>
          <w:szCs w:val="20"/>
          <w:lang w:val="pl-PL"/>
        </w:rPr>
        <w:t>.</w:t>
      </w:r>
    </w:p>
    <w:p w:rsidR="008F0A13" w:rsidRPr="0020232D" w:rsidRDefault="008F0A13" w:rsidP="0020232D">
      <w:pPr>
        <w:pStyle w:val="MNPTre"/>
        <w:spacing w:after="120" w:line="276" w:lineRule="auto"/>
        <w:ind w:left="360"/>
      </w:pPr>
    </w:p>
    <w:p w:rsidR="00543390" w:rsidRPr="0020232D" w:rsidRDefault="00543390" w:rsidP="0020232D">
      <w:pPr>
        <w:pStyle w:val="MNPTre"/>
        <w:spacing w:after="120" w:line="276" w:lineRule="auto"/>
      </w:pPr>
    </w:p>
    <w:p w:rsidR="00543390" w:rsidRPr="0020232D" w:rsidRDefault="00543390" w:rsidP="0020232D">
      <w:pPr>
        <w:pStyle w:val="MNPTre"/>
        <w:spacing w:after="120" w:line="276" w:lineRule="auto"/>
      </w:pPr>
    </w:p>
    <w:p w:rsidR="00686C0D" w:rsidRPr="0020232D" w:rsidRDefault="00686C0D" w:rsidP="0020232D">
      <w:pPr>
        <w:pStyle w:val="MNPTre"/>
        <w:spacing w:after="120" w:line="276" w:lineRule="auto"/>
      </w:pPr>
    </w:p>
    <w:p w:rsidR="005E022F" w:rsidRPr="0020232D" w:rsidRDefault="005E022F" w:rsidP="0020232D">
      <w:pPr>
        <w:pStyle w:val="MNPTre"/>
        <w:spacing w:after="120" w:line="276" w:lineRule="auto"/>
      </w:pPr>
    </w:p>
    <w:p w:rsidR="005E022F" w:rsidRPr="0020232D" w:rsidRDefault="005E022F" w:rsidP="0020232D">
      <w:pPr>
        <w:pStyle w:val="MNPTre"/>
        <w:spacing w:line="276" w:lineRule="auto"/>
      </w:pPr>
    </w:p>
    <w:p w:rsidR="00E62F9F" w:rsidRPr="0020232D" w:rsidRDefault="00E62F9F" w:rsidP="0020232D">
      <w:pPr>
        <w:pStyle w:val="MNPTre"/>
        <w:spacing w:line="276" w:lineRule="auto"/>
      </w:pPr>
    </w:p>
    <w:p w:rsidR="005B6E2D" w:rsidRPr="0020232D" w:rsidRDefault="005B6E2D" w:rsidP="0020232D">
      <w:pPr>
        <w:pStyle w:val="MNPTre"/>
        <w:spacing w:line="276" w:lineRule="auto"/>
        <w:jc w:val="center"/>
        <w:rPr>
          <w:b/>
        </w:rPr>
      </w:pPr>
    </w:p>
    <w:p w:rsidR="00A14E6F" w:rsidRPr="0020232D" w:rsidRDefault="00A14E6F" w:rsidP="0020232D">
      <w:pPr>
        <w:pStyle w:val="MNPTre"/>
        <w:spacing w:line="276" w:lineRule="auto"/>
        <w:rPr>
          <w:b/>
        </w:rPr>
      </w:pPr>
      <w:r w:rsidRPr="0020232D">
        <w:rPr>
          <w:b/>
        </w:rPr>
        <w:tab/>
      </w:r>
    </w:p>
    <w:sectPr w:rsidR="00A14E6F" w:rsidRPr="0020232D" w:rsidSect="00893204">
      <w:footerReference w:type="default" r:id="rId10"/>
      <w:headerReference w:type="first" r:id="rId11"/>
      <w:footerReference w:type="first" r:id="rId12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FC" w:rsidRDefault="008246FC">
      <w:r>
        <w:separator/>
      </w:r>
    </w:p>
  </w:endnote>
  <w:endnote w:type="continuationSeparator" w:id="0">
    <w:p w:rsidR="008246FC" w:rsidRDefault="0082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Noto Sans Symbols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1D1C49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FC" w:rsidRDefault="008246FC">
      <w:r>
        <w:separator/>
      </w:r>
    </w:p>
  </w:footnote>
  <w:footnote w:type="continuationSeparator" w:id="0">
    <w:p w:rsidR="008246FC" w:rsidRDefault="0082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70BDA"/>
    <w:multiLevelType w:val="multilevel"/>
    <w:tmpl w:val="4F96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F2067"/>
    <w:multiLevelType w:val="hybridMultilevel"/>
    <w:tmpl w:val="8EF272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8F7D1F"/>
    <w:multiLevelType w:val="hybridMultilevel"/>
    <w:tmpl w:val="78B8D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6102"/>
    <w:multiLevelType w:val="hybridMultilevel"/>
    <w:tmpl w:val="CFA8DE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108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AA7984"/>
    <w:multiLevelType w:val="hybridMultilevel"/>
    <w:tmpl w:val="2954C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1A2B33"/>
    <w:multiLevelType w:val="hybridMultilevel"/>
    <w:tmpl w:val="EBC816FC"/>
    <w:lvl w:ilvl="0" w:tplc="D07CE53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A3C5A"/>
    <w:multiLevelType w:val="hybridMultilevel"/>
    <w:tmpl w:val="08A28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368D2"/>
    <w:multiLevelType w:val="multilevel"/>
    <w:tmpl w:val="412208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A627DD"/>
    <w:multiLevelType w:val="hybridMultilevel"/>
    <w:tmpl w:val="EB189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506FD"/>
    <w:multiLevelType w:val="multilevel"/>
    <w:tmpl w:val="FC3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C01163"/>
    <w:multiLevelType w:val="hybridMultilevel"/>
    <w:tmpl w:val="EFC0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309D4"/>
    <w:multiLevelType w:val="hybridMultilevel"/>
    <w:tmpl w:val="22F808C2"/>
    <w:lvl w:ilvl="0" w:tplc="67A24D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643A96"/>
    <w:multiLevelType w:val="hybridMultilevel"/>
    <w:tmpl w:val="8D80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30002"/>
    <w:multiLevelType w:val="hybridMultilevel"/>
    <w:tmpl w:val="15105998"/>
    <w:lvl w:ilvl="0" w:tplc="6588815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1AEC"/>
    <w:multiLevelType w:val="multilevel"/>
    <w:tmpl w:val="62DE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293EEB"/>
    <w:multiLevelType w:val="hybridMultilevel"/>
    <w:tmpl w:val="A6DCE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7480"/>
    <w:multiLevelType w:val="hybridMultilevel"/>
    <w:tmpl w:val="30D8483C"/>
    <w:lvl w:ilvl="0" w:tplc="0E320976">
      <w:numFmt w:val="bullet"/>
      <w:lvlText w:val="-"/>
      <w:lvlJc w:val="left"/>
      <w:pPr>
        <w:ind w:left="720" w:hanging="360"/>
      </w:pPr>
      <w:rPr>
        <w:rFonts w:ascii="Acumin Pro" w:eastAsia="Arial Unicode MS" w:hAnsi="Acumin Pro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C564B"/>
    <w:multiLevelType w:val="multilevel"/>
    <w:tmpl w:val="58EC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9493B"/>
    <w:multiLevelType w:val="hybridMultilevel"/>
    <w:tmpl w:val="58A6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D0B0C"/>
    <w:multiLevelType w:val="multilevel"/>
    <w:tmpl w:val="E2625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pStyle w:val="Nagwe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FBE14BB"/>
    <w:multiLevelType w:val="multilevel"/>
    <w:tmpl w:val="95DA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2E729C"/>
    <w:multiLevelType w:val="multilevel"/>
    <w:tmpl w:val="97E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18"/>
  </w:num>
  <w:num w:numId="5">
    <w:abstractNumId w:val="17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20"/>
  </w:num>
  <w:num w:numId="11">
    <w:abstractNumId w:val="14"/>
  </w:num>
  <w:num w:numId="12">
    <w:abstractNumId w:val="12"/>
  </w:num>
  <w:num w:numId="13">
    <w:abstractNumId w:val="11"/>
  </w:num>
  <w:num w:numId="14">
    <w:abstractNumId w:val="19"/>
  </w:num>
  <w:num w:numId="15">
    <w:abstractNumId w:val="23"/>
  </w:num>
  <w:num w:numId="16">
    <w:abstractNumId w:val="22"/>
  </w:num>
  <w:num w:numId="17">
    <w:abstractNumId w:val="1"/>
  </w:num>
  <w:num w:numId="18">
    <w:abstractNumId w:val="16"/>
  </w:num>
  <w:num w:numId="19">
    <w:abstractNumId w:val="7"/>
  </w:num>
  <w:num w:numId="20">
    <w:abstractNumId w:val="15"/>
  </w:num>
  <w:num w:numId="21">
    <w:abstractNumId w:val="4"/>
  </w:num>
  <w:num w:numId="22">
    <w:abstractNumId w:val="8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3"/>
    <w:rsid w:val="00002F1D"/>
    <w:rsid w:val="00016203"/>
    <w:rsid w:val="00034959"/>
    <w:rsid w:val="000441EE"/>
    <w:rsid w:val="0005461F"/>
    <w:rsid w:val="000C2F44"/>
    <w:rsid w:val="0016120E"/>
    <w:rsid w:val="001704E2"/>
    <w:rsid w:val="001D1C49"/>
    <w:rsid w:val="001D45B0"/>
    <w:rsid w:val="001F3F04"/>
    <w:rsid w:val="0020232D"/>
    <w:rsid w:val="002107C0"/>
    <w:rsid w:val="00244F72"/>
    <w:rsid w:val="0024549B"/>
    <w:rsid w:val="00291E43"/>
    <w:rsid w:val="0032538C"/>
    <w:rsid w:val="00325C37"/>
    <w:rsid w:val="00333594"/>
    <w:rsid w:val="00354309"/>
    <w:rsid w:val="003A6470"/>
    <w:rsid w:val="003B0086"/>
    <w:rsid w:val="003E76E2"/>
    <w:rsid w:val="00467AC4"/>
    <w:rsid w:val="004A77DA"/>
    <w:rsid w:val="004B1F28"/>
    <w:rsid w:val="004F75FC"/>
    <w:rsid w:val="00514881"/>
    <w:rsid w:val="00543390"/>
    <w:rsid w:val="00545297"/>
    <w:rsid w:val="0057622D"/>
    <w:rsid w:val="005B6E2D"/>
    <w:rsid w:val="005E022F"/>
    <w:rsid w:val="005F1C5F"/>
    <w:rsid w:val="00667307"/>
    <w:rsid w:val="00686C0D"/>
    <w:rsid w:val="006D1838"/>
    <w:rsid w:val="007E23C5"/>
    <w:rsid w:val="007F5AC4"/>
    <w:rsid w:val="008246FC"/>
    <w:rsid w:val="00893204"/>
    <w:rsid w:val="008A42B8"/>
    <w:rsid w:val="008A4D87"/>
    <w:rsid w:val="008F0A13"/>
    <w:rsid w:val="008F2C2C"/>
    <w:rsid w:val="00911FCE"/>
    <w:rsid w:val="00963979"/>
    <w:rsid w:val="00967D1F"/>
    <w:rsid w:val="009B39B4"/>
    <w:rsid w:val="00A14E6F"/>
    <w:rsid w:val="00A86A3A"/>
    <w:rsid w:val="00AA038E"/>
    <w:rsid w:val="00B24F28"/>
    <w:rsid w:val="00B64EC9"/>
    <w:rsid w:val="00B72E2A"/>
    <w:rsid w:val="00B72EB1"/>
    <w:rsid w:val="00B833B7"/>
    <w:rsid w:val="00B97175"/>
    <w:rsid w:val="00BA74AC"/>
    <w:rsid w:val="00BF2A76"/>
    <w:rsid w:val="00C16BF4"/>
    <w:rsid w:val="00C24790"/>
    <w:rsid w:val="00C72E33"/>
    <w:rsid w:val="00CC4A7D"/>
    <w:rsid w:val="00CD6CE8"/>
    <w:rsid w:val="00CF1D99"/>
    <w:rsid w:val="00CF6669"/>
    <w:rsid w:val="00CF711D"/>
    <w:rsid w:val="00D20C7F"/>
    <w:rsid w:val="00D64F2C"/>
    <w:rsid w:val="00DA31E3"/>
    <w:rsid w:val="00DA6978"/>
    <w:rsid w:val="00DD3108"/>
    <w:rsid w:val="00DF57A3"/>
    <w:rsid w:val="00E62F9F"/>
    <w:rsid w:val="00E86157"/>
    <w:rsid w:val="00EE2856"/>
    <w:rsid w:val="00F10993"/>
    <w:rsid w:val="00F34F0D"/>
    <w:rsid w:val="00FD036D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40BC6CF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39B4"/>
    <w:pPr>
      <w:numPr>
        <w:ilvl w:val="2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60"/>
      <w:ind w:left="851" w:hanging="851"/>
      <w:jc w:val="both"/>
      <w:outlineLvl w:val="2"/>
    </w:pPr>
    <w:rPr>
      <w:rFonts w:ascii="Arial" w:eastAsia="Calibri" w:hAnsi="Arial" w:cs="Arial"/>
      <w:bCs/>
      <w:kern w:val="2"/>
      <w:bdr w:val="none" w:sz="0" w:space="0" w:color="auto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B39B4"/>
    <w:rPr>
      <w:rFonts w:ascii="Arial" w:eastAsia="Calibri" w:hAnsi="Arial" w:cs="Arial"/>
      <w:bCs/>
      <w:kern w:val="2"/>
      <w:sz w:val="24"/>
      <w:szCs w:val="24"/>
      <w:bdr w:val="none" w:sz="0" w:space="0" w:color="auto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B0086"/>
    <w:pPr>
      <w:ind w:left="720"/>
      <w:contextualSpacing/>
    </w:pPr>
    <w:rPr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3B0086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3B0086"/>
    <w:rPr>
      <w:sz w:val="24"/>
      <w:szCs w:val="24"/>
      <w:bdr w:val="none" w:sz="0" w:space="0" w:color="auto"/>
      <w:lang w:val="en-US" w:eastAsia="en-US"/>
    </w:rPr>
  </w:style>
  <w:style w:type="paragraph" w:styleId="Tekstpodstawowy2">
    <w:name w:val="Body Text 2"/>
    <w:basedOn w:val="Normalny"/>
    <w:link w:val="Tekstpodstawowy2Znak"/>
    <w:rsid w:val="003B00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B0086"/>
    <w:rPr>
      <w:rFonts w:eastAsia="Times New Roman"/>
      <w:sz w:val="24"/>
      <w:szCs w:val="24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rsid w:val="003B00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0086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cpubenchmark.net%2Fcpu_list.php&amp;data=04%7C01%7CMariusz.Dudek%40Honeywell.com%7C2bf834ddafbe49bb4c0a08d977888e33%7C96ece5269c7d48b08daf8b93c90a5d18%7C0%7C0%7C637672250645187841%7CUnknown%7CTWFpbGZsb3d8eyJWIjoiMC4wLjAwMDAiLCJQIjoiV2luMzIiLCJBTiI6Ik1haWwiLCJXVCI6Mn0%3D%7C1000&amp;sdata=mcTmdgFA34CBGRk9Ptxugf6vcWhD8NuQPQX%2BJzpQNEc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m12.safelinks.protection.outlook.com/?url=https%3A%2F%2Fwww.cpubenchmark.net%2Fcpu_list.php&amp;data=04%7C01%7CMariusz.Dudek%40Honeywell.com%7C2bf834ddafbe49bb4c0a08d977888e33%7C96ece5269c7d48b08daf8b93c90a5d18%7C0%7C0%7C637672250645187841%7CUnknown%7CTWFpbGZsb3d8eyJWIjoiMC4wLjAwMDAiLCJQIjoiV2luMzIiLCJBTiI6Ik1haWwiLCJXVCI6Mn0%3D%7C1000&amp;sdata=mcTmdgFA34CBGRk9Ptxugf6vcWhD8NuQPQX%2BJzpQNEc%3D&amp;reserved=0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3E05-9F5C-4EE2-91D0-9FCC5993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1807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Agnieszka</cp:lastModifiedBy>
  <cp:revision>59</cp:revision>
  <cp:lastPrinted>2021-10-11T10:49:00Z</cp:lastPrinted>
  <dcterms:created xsi:type="dcterms:W3CDTF">2021-01-20T13:48:00Z</dcterms:created>
  <dcterms:modified xsi:type="dcterms:W3CDTF">2021-10-11T10:50:00Z</dcterms:modified>
</cp:coreProperties>
</file>