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95" w:rsidRPr="004C46EC" w:rsidRDefault="004C46EC" w:rsidP="004C46EC">
      <w:pPr>
        <w:pStyle w:val="Tre"/>
        <w:spacing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4C46EC">
        <w:rPr>
          <w:rFonts w:ascii="Acumin Pro" w:hAnsi="Acumin Pro" w:cs="Times New Roman"/>
          <w:b/>
          <w:sz w:val="20"/>
          <w:szCs w:val="20"/>
        </w:rPr>
        <w:t>Załącznik nr 1 do zapytania ofertowego</w:t>
      </w:r>
    </w:p>
    <w:p w:rsidR="004C46EC" w:rsidRPr="004C46EC" w:rsidRDefault="004C46EC" w:rsidP="004C46EC">
      <w:pPr>
        <w:pStyle w:val="Tre"/>
        <w:spacing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4C46EC" w:rsidRPr="004C46EC" w:rsidRDefault="004C46EC" w:rsidP="004C46EC">
      <w:pPr>
        <w:pStyle w:val="Tre"/>
        <w:spacing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r w:rsidRPr="004C46EC">
        <w:rPr>
          <w:rFonts w:ascii="Acumin Pro" w:hAnsi="Acumin Pro" w:cs="Times New Roman"/>
          <w:b/>
          <w:sz w:val="20"/>
          <w:szCs w:val="20"/>
        </w:rPr>
        <w:t xml:space="preserve">OPIS PRZEDMIOTU ZAMÓWIENIA </w:t>
      </w:r>
    </w:p>
    <w:p w:rsidR="00DF5495" w:rsidRPr="004C46EC" w:rsidRDefault="00DF5495" w:rsidP="004C46EC">
      <w:pPr>
        <w:pStyle w:val="Tre"/>
        <w:spacing w:line="360" w:lineRule="auto"/>
        <w:jc w:val="center"/>
        <w:rPr>
          <w:rFonts w:ascii="Acumin Pro" w:hAnsi="Acumin Pro" w:cs="Times New Roman"/>
          <w:sz w:val="20"/>
          <w:szCs w:val="20"/>
        </w:rPr>
      </w:pPr>
    </w:p>
    <w:p w:rsidR="00DF5495" w:rsidRPr="004C46EC" w:rsidRDefault="004C46EC" w:rsidP="004C46EC">
      <w:pPr>
        <w:pStyle w:val="Tre"/>
        <w:spacing w:line="360" w:lineRule="auto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     </w:t>
      </w:r>
      <w:r w:rsidR="00DF5495" w:rsidRPr="004C46EC">
        <w:rPr>
          <w:rFonts w:ascii="Acumin Pro" w:hAnsi="Acumin Pro" w:cs="Times New Roman"/>
          <w:sz w:val="20"/>
          <w:szCs w:val="20"/>
        </w:rPr>
        <w:t xml:space="preserve">Zestawienie </w:t>
      </w:r>
      <w:r>
        <w:rPr>
          <w:rFonts w:ascii="Acumin Pro" w:hAnsi="Acumin Pro" w:cs="Times New Roman"/>
          <w:sz w:val="20"/>
          <w:szCs w:val="20"/>
        </w:rPr>
        <w:t xml:space="preserve">dostarczanych przez Wykonawcę </w:t>
      </w:r>
      <w:r w:rsidR="00DF5495" w:rsidRPr="004C46EC">
        <w:rPr>
          <w:rFonts w:ascii="Acumin Pro" w:hAnsi="Acumin Pro" w:cs="Times New Roman"/>
          <w:sz w:val="20"/>
          <w:szCs w:val="20"/>
        </w:rPr>
        <w:t xml:space="preserve">urządzeń </w:t>
      </w:r>
      <w:r w:rsidR="00D66268" w:rsidRPr="004C46EC">
        <w:rPr>
          <w:rFonts w:ascii="Acumin Pro" w:hAnsi="Acumin Pro" w:cs="Times New Roman"/>
          <w:sz w:val="20"/>
          <w:szCs w:val="20"/>
        </w:rPr>
        <w:t xml:space="preserve">do systemu </w:t>
      </w:r>
      <w:proofErr w:type="spellStart"/>
      <w:r w:rsidR="00D66268" w:rsidRPr="004C46EC">
        <w:rPr>
          <w:rFonts w:ascii="Acumin Pro" w:hAnsi="Acumin Pro" w:cs="Times New Roman"/>
          <w:sz w:val="20"/>
          <w:szCs w:val="20"/>
        </w:rPr>
        <w:t>SSWiN</w:t>
      </w:r>
      <w:proofErr w:type="spellEnd"/>
      <w:r w:rsidR="00D66268" w:rsidRPr="004C46EC">
        <w:rPr>
          <w:rFonts w:ascii="Acumin Pro" w:hAnsi="Acumin Pro" w:cs="Times New Roman"/>
          <w:sz w:val="20"/>
          <w:szCs w:val="20"/>
        </w:rPr>
        <w:t xml:space="preserve"> </w:t>
      </w:r>
      <w:r w:rsidR="00DF5495" w:rsidRPr="004C46EC">
        <w:rPr>
          <w:rFonts w:ascii="Acumin Pro" w:hAnsi="Acumin Pro" w:cs="Times New Roman"/>
          <w:sz w:val="20"/>
          <w:szCs w:val="20"/>
        </w:rPr>
        <w:t>w Muzeum Etnograficznym – oddział MNP</w:t>
      </w:r>
      <w:r>
        <w:rPr>
          <w:rFonts w:ascii="Acumin Pro" w:hAnsi="Acumin Pro" w:cs="Times New Roman"/>
          <w:sz w:val="20"/>
          <w:szCs w:val="20"/>
        </w:rPr>
        <w:t>:</w:t>
      </w:r>
    </w:p>
    <w:tbl>
      <w:tblPr>
        <w:tblW w:w="84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2025"/>
        <w:gridCol w:w="737"/>
        <w:gridCol w:w="4648"/>
        <w:gridCol w:w="620"/>
      </w:tblGrid>
      <w:tr w:rsidR="00DF5495" w:rsidRPr="004C46EC" w:rsidTr="00B72679">
        <w:trPr>
          <w:trHeight w:val="250"/>
          <w:jc w:val="center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</w:tr>
      <w:tr w:rsidR="00DF5495" w:rsidRPr="004C46EC" w:rsidTr="00B72679">
        <w:trPr>
          <w:gridAfter w:val="4"/>
          <w:wAfter w:w="8030" w:type="dxa"/>
          <w:trHeight w:val="250"/>
          <w:jc w:val="center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</w:tr>
      <w:tr w:rsidR="00DF5495" w:rsidRPr="004C46EC" w:rsidTr="00B72679">
        <w:trPr>
          <w:trHeight w:val="250"/>
          <w:jc w:val="center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  <w:t>lp.</w:t>
            </w:r>
          </w:p>
        </w:tc>
        <w:tc>
          <w:tcPr>
            <w:tcW w:w="741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  <w:t xml:space="preserve">   nazwa  urządzenia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b/>
                <w:bCs/>
                <w:sz w:val="20"/>
                <w:szCs w:val="20"/>
                <w:bdr w:val="none" w:sz="0" w:space="0" w:color="auto"/>
                <w:lang w:val="pl-PL" w:eastAsia="pl-PL"/>
              </w:rPr>
              <w:t>ilość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Centrala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Integra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256 PLUS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2.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Moduł LAN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ETHM-1 Plus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638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3.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Oprogramowanie 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Licencja bazowa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763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4.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Oprogramowanie sterowaniem </w:t>
            </w:r>
            <w:proofErr w:type="spellStart"/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SSWiN</w:t>
            </w:r>
            <w:proofErr w:type="spellEnd"/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Licencja na podłączenie systemów </w:t>
            </w: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SSWiN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5.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Oprogramowanie SEI 250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Licencja na obsługę 250 elementów </w:t>
            </w: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SSWiN</w:t>
            </w:r>
            <w:proofErr w:type="spellEnd"/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6.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Stacja kliencka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Komputer i7, 16 GB RAM, dyski SSD + 2 TB,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7.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Monitor 27”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Monitor 27” Full HD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2</w:t>
            </w:r>
          </w:p>
        </w:tc>
      </w:tr>
      <w:tr w:rsidR="00DF5495" w:rsidRPr="004C46EC" w:rsidTr="00B72679">
        <w:trPr>
          <w:trHeight w:val="72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8.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Obudowa Centrali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OMNI-4 (obudowa metalowa z transformatorem, GRADE 3)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9.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Akumulator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VPRO 12V/18Ah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10.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Czujka PIR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IVORY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11.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Kontaktron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S-4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12.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Manipulator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proofErr w:type="spellStart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Satel</w:t>
            </w:r>
            <w:proofErr w:type="spellEnd"/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 xml:space="preserve"> INT-KLCD-GR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  <w:r w:rsidRPr="004C46EC"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  <w:t>1</w:t>
            </w: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</w:tr>
      <w:tr w:rsidR="00DF5495" w:rsidRPr="004C46EC" w:rsidTr="00B72679">
        <w:trPr>
          <w:trHeight w:val="275"/>
          <w:jc w:val="center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  <w:tc>
          <w:tcPr>
            <w:tcW w:w="6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5495" w:rsidRPr="004C46EC" w:rsidRDefault="00DF5495" w:rsidP="004C46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eastAsia="Times New Roman" w:hAnsi="Acumin Pro"/>
                <w:sz w:val="20"/>
                <w:szCs w:val="20"/>
                <w:bdr w:val="none" w:sz="0" w:space="0" w:color="auto"/>
                <w:lang w:val="pl-PL" w:eastAsia="pl-PL"/>
              </w:rPr>
            </w:pPr>
          </w:p>
        </w:tc>
      </w:tr>
    </w:tbl>
    <w:p w:rsidR="00A344FE" w:rsidRPr="004C46EC" w:rsidRDefault="00A344FE" w:rsidP="004C46EC">
      <w:pPr>
        <w:pStyle w:val="Tre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4C46EC">
        <w:rPr>
          <w:rFonts w:ascii="Acumin Pro" w:hAnsi="Acumin Pro" w:cs="Times New Roman"/>
          <w:sz w:val="20"/>
          <w:szCs w:val="20"/>
        </w:rPr>
        <w:t xml:space="preserve">Przedmiotem zamówienia jest </w:t>
      </w:r>
      <w:r w:rsidR="004C46EC" w:rsidRPr="004C46EC">
        <w:rPr>
          <w:rFonts w:ascii="Acumin Pro" w:hAnsi="Acumin Pro" w:cs="Times New Roman"/>
          <w:sz w:val="20"/>
          <w:szCs w:val="20"/>
        </w:rPr>
        <w:t xml:space="preserve">dostawa i montaż </w:t>
      </w:r>
      <w:r w:rsidRPr="004C46EC">
        <w:rPr>
          <w:rFonts w:ascii="Acumin Pro" w:hAnsi="Acumin Pro" w:cs="Times New Roman"/>
          <w:sz w:val="20"/>
          <w:szCs w:val="20"/>
        </w:rPr>
        <w:t>system</w:t>
      </w:r>
      <w:r w:rsidR="004C46EC">
        <w:rPr>
          <w:rFonts w:ascii="Acumin Pro" w:hAnsi="Acumin Pro" w:cs="Times New Roman"/>
          <w:sz w:val="20"/>
          <w:szCs w:val="20"/>
        </w:rPr>
        <w:t>u</w:t>
      </w:r>
      <w:r w:rsidRPr="004C46EC">
        <w:rPr>
          <w:rFonts w:ascii="Acumin Pro" w:hAnsi="Acumin Pro" w:cs="Times New Roman"/>
          <w:sz w:val="20"/>
          <w:szCs w:val="20"/>
        </w:rPr>
        <w:t xml:space="preserve"> VMS z modułem integracji systemu </w:t>
      </w:r>
      <w:proofErr w:type="spellStart"/>
      <w:r w:rsidRPr="004C46EC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4C46EC">
        <w:rPr>
          <w:rFonts w:ascii="Acumin Pro" w:hAnsi="Acumin Pro" w:cs="Times New Roman"/>
          <w:sz w:val="20"/>
          <w:szCs w:val="20"/>
        </w:rPr>
        <w:t xml:space="preserve"> marki </w:t>
      </w:r>
      <w:proofErr w:type="spellStart"/>
      <w:r w:rsidRPr="004C46EC">
        <w:rPr>
          <w:rFonts w:ascii="Acumin Pro" w:hAnsi="Acumin Pro" w:cs="Times New Roman"/>
          <w:sz w:val="20"/>
          <w:szCs w:val="20"/>
        </w:rPr>
        <w:t>Satel</w:t>
      </w:r>
      <w:proofErr w:type="spellEnd"/>
      <w:r w:rsidRPr="004C46EC">
        <w:rPr>
          <w:rFonts w:ascii="Acumin Pro" w:hAnsi="Acumin Pro" w:cs="Times New Roman"/>
          <w:sz w:val="20"/>
          <w:szCs w:val="20"/>
        </w:rPr>
        <w:t xml:space="preserve"> </w:t>
      </w:r>
      <w:proofErr w:type="spellStart"/>
      <w:r w:rsidRPr="004C46EC">
        <w:rPr>
          <w:rFonts w:ascii="Acumin Pro" w:hAnsi="Acumin Pro" w:cs="Times New Roman"/>
          <w:sz w:val="20"/>
          <w:szCs w:val="20"/>
        </w:rPr>
        <w:t>Integra</w:t>
      </w:r>
      <w:proofErr w:type="spellEnd"/>
      <w:r w:rsidR="004C46EC">
        <w:rPr>
          <w:rFonts w:ascii="Acumin Pro" w:hAnsi="Acumin Pro" w:cs="Times New Roman"/>
          <w:sz w:val="20"/>
          <w:szCs w:val="20"/>
        </w:rPr>
        <w:t xml:space="preserve"> określonej w tabeli powyżej</w:t>
      </w:r>
      <w:r w:rsidRPr="004C46EC">
        <w:rPr>
          <w:rFonts w:ascii="Acumin Pro" w:hAnsi="Acumin Pro" w:cs="Times New Roman"/>
          <w:sz w:val="20"/>
          <w:szCs w:val="20"/>
        </w:rPr>
        <w:t xml:space="preserve">. W ramach </w:t>
      </w:r>
      <w:r w:rsidR="004C46EC">
        <w:rPr>
          <w:rFonts w:ascii="Acumin Pro" w:hAnsi="Acumin Pro" w:cs="Times New Roman"/>
          <w:sz w:val="20"/>
          <w:szCs w:val="20"/>
        </w:rPr>
        <w:t>zapytania</w:t>
      </w:r>
      <w:r w:rsidRPr="004C46EC">
        <w:rPr>
          <w:rFonts w:ascii="Acumin Pro" w:hAnsi="Acumin Pro" w:cs="Times New Roman"/>
          <w:sz w:val="20"/>
          <w:szCs w:val="20"/>
        </w:rPr>
        <w:t xml:space="preserve"> należy dostarczyć stację roboczą wraz z oprogramowaniem klient/serwer. Zarówno aplikacja kliencka jak i serwerowa powinna zostać zainstalowana na dostarczonej </w:t>
      </w:r>
      <w:r w:rsidR="00F20996" w:rsidRPr="004C46EC">
        <w:rPr>
          <w:rFonts w:ascii="Acumin Pro" w:hAnsi="Acumin Pro" w:cs="Times New Roman"/>
          <w:sz w:val="20"/>
          <w:szCs w:val="20"/>
        </w:rPr>
        <w:t>stacji</w:t>
      </w:r>
      <w:r w:rsidRPr="004C46EC">
        <w:rPr>
          <w:rFonts w:ascii="Acumin Pro" w:hAnsi="Acumin Pro" w:cs="Times New Roman"/>
          <w:sz w:val="20"/>
          <w:szCs w:val="20"/>
        </w:rPr>
        <w:t xml:space="preserve"> a w późniejszym okresie zapewniać możliwość przeniesienia usługi serwerowej na dedykowany serwer. </w:t>
      </w:r>
    </w:p>
    <w:p w:rsidR="00A344FE" w:rsidRPr="004C46EC" w:rsidRDefault="00A344FE" w:rsidP="004C46EC">
      <w:pPr>
        <w:pStyle w:val="Tre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4C46EC">
        <w:rPr>
          <w:rFonts w:ascii="Acumin Pro" w:hAnsi="Acumin Pro" w:cs="Times New Roman"/>
          <w:sz w:val="20"/>
          <w:szCs w:val="20"/>
        </w:rPr>
        <w:t xml:space="preserve">System musi umożliwiać eksport oraz import na nowe urządzenie całej konfiguracji systemu a w szczególności: kont użytkowników oraz administratorów, kamer, urządzeń </w:t>
      </w:r>
      <w:proofErr w:type="spellStart"/>
      <w:r w:rsidRPr="004C46EC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4C46EC">
        <w:rPr>
          <w:rFonts w:ascii="Acumin Pro" w:hAnsi="Acumin Pro" w:cs="Times New Roman"/>
          <w:sz w:val="20"/>
          <w:szCs w:val="20"/>
        </w:rPr>
        <w:t xml:space="preserve"> z podziałem na strefy oraz linie, scenariuszy alarmowych, map obiektu oraz widoków. Eksport musi być zabezpieczony hasłem i umożliwiać odtworzenie konfiguracji tylko posiadaczowi hasła administratora.</w:t>
      </w:r>
    </w:p>
    <w:p w:rsidR="00A344FE" w:rsidRPr="004C46EC" w:rsidRDefault="00A344FE" w:rsidP="004C46EC">
      <w:pPr>
        <w:pStyle w:val="Tre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344FE" w:rsidRPr="004C46EC" w:rsidRDefault="00A344FE" w:rsidP="004C46EC">
      <w:pPr>
        <w:pStyle w:val="Tre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4C46EC">
        <w:rPr>
          <w:rFonts w:ascii="Acumin Pro" w:hAnsi="Acumin Pro" w:cs="Times New Roman"/>
          <w:sz w:val="20"/>
          <w:szCs w:val="20"/>
        </w:rPr>
        <w:t>Minimalne parametry oprogramowania: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 Architektura systemu w konfiguracji serwer/klient, wszystkie dane takie jak: materiał </w:t>
      </w:r>
      <w:r w:rsidRPr="004C46EC">
        <w:rPr>
          <w:rFonts w:ascii="Acumin Pro" w:hAnsi="Acumin Pro" w:cs="Times New Roman"/>
          <w:sz w:val="20"/>
          <w:szCs w:val="20"/>
          <w:u w:color="000000"/>
          <w:lang w:val="it-IT"/>
        </w:rPr>
        <w:t>audio-wideo, dane u</w:t>
      </w:r>
      <w:r w:rsidRPr="004C46EC">
        <w:rPr>
          <w:rFonts w:ascii="Acumin Pro" w:hAnsi="Acumin Pro" w:cs="Times New Roman"/>
          <w:sz w:val="20"/>
          <w:szCs w:val="20"/>
          <w:u w:color="000000"/>
        </w:rPr>
        <w:t>użytkowników systemu, logi systemowe i alarmowe muszą być przechowywane na odpowiednio zabezpieczonych serwerach zainstalowanym w dedykowanej, szafie serwerowej: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ystem musi zapewniać szyfrowane połączenia pomiędzy serwerem a aplikacjami klienckimi 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ystem musi umożliwiać eksport materiału audio-wideo z poziomu aplikacji klienckiej bezpośrednio na serwerze. 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lastRenderedPageBreak/>
        <w:t>e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ksportowany materiał przekazywany instytucjom zewnętrznym musi być zabezpieczony hasłem. Odtworzenie eksportowanego materiału będzie możliwe tylko po podaniu odpowiedniego hasła. 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ystem musi umożliwiać dostęp</w:t>
      </w:r>
      <w:r w:rsidR="00A344FE" w:rsidRPr="004C46EC">
        <w:rPr>
          <w:rFonts w:ascii="Acumin Pro" w:hAnsi="Acumin Pro" w:cs="Times New Roman"/>
          <w:sz w:val="20"/>
          <w:szCs w:val="20"/>
          <w:u w:color="000000"/>
          <w:lang w:val="pt-PT"/>
        </w:rPr>
        <w:t xml:space="preserve"> do pe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łnej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 funkcjonalności systemu po podaniu haseł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dwó</w:t>
      </w:r>
      <w:r w:rsidR="00A344FE"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>ch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 xml:space="preserve"> u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żytkowników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 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ystem musi rejestrować zmiany w bazie danych, w tym: informacje o wyświetleniu obrazu z kamery, archiwizację materiału audio-wideo na stacji klienckiej, wydruk klatki, zapis klatki na stacji klienckiej;</w:t>
      </w:r>
    </w:p>
    <w:p w:rsidR="00A344FE" w:rsidRPr="004C46EC" w:rsidRDefault="004C46EC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ystem musi umożliwiać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anonimizację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 osób zarejestrowanych przez system monitoringu oraz umożliwiać przeglądanie materiału wideo bez funkcji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anonimizacji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 przez użytkowników o właściwych uprawnieniach lub w trybie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dwó</w:t>
      </w:r>
      <w:r w:rsidR="00A344FE"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>ch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 xml:space="preserve"> u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żytkowników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;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w przyszłości możliwość indywidualnego definiowania, rodzaju kompresji, stopnia kompresji oraz prędkości zapisu dla każdego strumienia obrazowego, różnych dla trybu wizualizacji i zapisu alarmowego: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aplikacja 64-bitowa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obsługę systemów wieloprocesorowych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otwartą platformę dla integracji kamer IP wiodących na rynku dostawców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oprogramowanie serwerowe współpracujące w różnymi platformami systemowymi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możliwość rozbudowy dzięki architekturze umożliwiającej dystrybucję i skalowalność systemu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intuicyjny interfejs użytkownika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zdalną obsługę podłączonych urządzeń z poziomu oprogramowania zarządzającego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tryb wielomonitorowy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równoległą wizualizację dowolnej liczby kamer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równoczesne wyświetlanie na jednym monitorze obrazu w podziale z kamer oraz map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zarządzanie autoryzacjami umożliwiające, dla każdego z użytkowników z osobna, przyporządkowywanie szczegółowych uprawnień dotyczących do-stępu do wyświetlania obrazu z określonych kamer, sterowania, przycisków wirtualnych itp.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możliwość konfiguracji prędkości transmisji niezależnie dla każdej stacji klienckiej i każdego użytkownika, pozwalające na wyświetlanie obrazu z tej samej kamery z różnymi prędkościami dla różnych użytkowników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powiadomienie alarmowe przez e-mail / SMS / OPC / SNMP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obsługa sieciowych modułów I/O (wejść/wyjść) wykorzystywana o łatwej i szybkiej integracji alarmów pochodzących z innych systemów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obsługa jedno i dwukierunkowej transmisji dźwięku </w:t>
      </w:r>
    </w:p>
    <w:p w:rsid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tworzenie wirtualnych przycisków – umożliwiających sterowanie wyjściami w kamerach i zewnętrznych modułach I/O, oraz wywoływanie zdefiniowanych scenariuszy alarmowych </w:t>
      </w:r>
    </w:p>
    <w:p w:rsidR="00A344FE" w:rsidRPr="004C46EC" w:rsidRDefault="00A344FE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  <w:lang w:val="it-IT"/>
        </w:rPr>
        <w:t xml:space="preserve">multi streaming </w:t>
      </w: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– wykorzystanie co najmniej 2 strumieni obrazowej z każdej z kamer 1 strumień wysokiej rozdzielczości do zapisu 2 strumień niskiej rozdzielczości do podglądu na żywo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12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m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ożliwość wykrywania ruchu w obrazie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lastRenderedPageBreak/>
        <w:t>o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bsługa sprzętowej detekcji ruchu w kamerach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o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bsługa wejść oraz wyjść alarmowych w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>kamerach</w:t>
      </w:r>
      <w:proofErr w:type="spellEnd"/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m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ożliwość implementacji technologii inteligentnych czujników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o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twarty interfejs dla szerokiej gamy różnorakich aplikacji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i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ntegrację cyfrowych i analogowych kamer wielu producentów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i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ntegracja z istniejącymi systemami analogowymi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chematy alarmowe służące do szczegółowego określenia w jaki sposób ma być sterowany system i jakiego rodzaju akcje powinny zostać uruchomione w przypadku określonych rodzajów zdarzeń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u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ruchamianie przez schematy alarmowe jednoczesnego zapisu dowolnej ilości kamer w przypadku pojawienia się alarmu oraz możliwość zdefiniowania trybu pracy zewnętrznych urządzeń takich jak interkomy czy </w:t>
      </w:r>
      <w:proofErr w:type="spellStart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elektrozwory</w:t>
      </w:r>
      <w:proofErr w:type="spellEnd"/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.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k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odowany transfer danych oraz przechowywanie danych wizyjnych i dotyczących autoryzacji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m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onitorowanie wszystkich zdarzeń oraz akcji w systemie, takich jak: zmiany w konfiguracji serwera oraz kamer, potwierdzenia alarmów, aktywacja przycisków, otwarcie blokad drzwi, itp. oraz ich zapis w dzienniku zdarzeń przyporządkowanym do określonego operatora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after="82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terowanie kamerami PTZ z wykorzystaniem manipulatora 3-osiowego </w:t>
      </w:r>
    </w:p>
    <w:p w:rsidR="00A344FE" w:rsidRPr="004C46EC" w:rsidRDefault="000E6F90" w:rsidP="004C46EC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s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 xml:space="preserve">ystem musi zapewniać funkcję automatycznego zapisu awaryjnego, zapewniającego automatyczne przełączenie zapisu oraz udostępniania obrazu z kamer przez serwer awaryjny. 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0E6F90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Wymagania do 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integracji</w:t>
      </w: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 po uruchomieniu systemu CCTV</w:t>
      </w:r>
      <w:r w:rsidR="00A344FE" w:rsidRPr="004C46EC">
        <w:rPr>
          <w:rFonts w:ascii="Acumin Pro" w:hAnsi="Acumin Pro" w:cs="Times New Roman"/>
          <w:sz w:val="20"/>
          <w:szCs w:val="20"/>
          <w:u w:color="000000"/>
        </w:rPr>
        <w:t>:</w:t>
      </w:r>
    </w:p>
    <w:p w:rsidR="00A344FE" w:rsidRPr="004C46EC" w:rsidRDefault="00A344FE" w:rsidP="004C46E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b/>
          <w:bCs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Integracja systemu monitoringu wizyjnego z systemem sygnalizacji włamania </w:t>
      </w:r>
    </w:p>
    <w:p w:rsidR="00A344FE" w:rsidRPr="004C46EC" w:rsidRDefault="00A344FE" w:rsidP="004C46E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System obsługi monitoringu wizyjnego powinien umożliwić zintegrowanie ze sobą systemu alarmowego poprzez jego monitorowanie w czasie rzeczywistym. Dane z systemu alarmowego powinny być przekazywane za pomocą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protokoł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>u TCP/IP.</w:t>
      </w:r>
    </w:p>
    <w:p w:rsidR="00A344FE" w:rsidRPr="004C46EC" w:rsidRDefault="00A344FE" w:rsidP="004C46EC">
      <w:pPr>
        <w:pStyle w:val="T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System powinien umożliwić automatyczna obsługę na mapie obiektu na stanowisku operatora poprzez następujące funkcje: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zmiana ikony informującej o stanach wejść centrali alarmowej takich jak stan spoczynku, naruszenie, alarm, sabotaż,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zmiana ikony informującej o stanach wyjść centrali alarmowej takich jak aktywna, nieaktywna z możliwością zdalnego przełączania jego stan</w:t>
      </w:r>
      <w:r w:rsidRPr="004C46EC">
        <w:rPr>
          <w:rFonts w:ascii="Acumin Pro" w:hAnsi="Acumin Pro" w:cs="Times New Roman"/>
          <w:sz w:val="20"/>
          <w:szCs w:val="20"/>
          <w:u w:color="000000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graficzna zmiana stanu strefy dozorowej z możliwość aktywacji i dezaktywacji czuwania oraz kasowania alarm</w:t>
      </w:r>
      <w:r w:rsidRPr="004C46EC">
        <w:rPr>
          <w:rFonts w:ascii="Acumin Pro" w:hAnsi="Acumin Pro" w:cs="Times New Roman"/>
          <w:sz w:val="20"/>
          <w:szCs w:val="20"/>
          <w:u w:color="000000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w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strefach dozorowych,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graficzna zmiana stanu czujnika systemu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Varya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na aktywnych mapach obiektu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automatyczne wywołanie mapy zawierającej czujniki w stanie alarmu 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automatyczne wywołanie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presetów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w kamerach PTZ i/lub cyfrowych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presetów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w panoramicznych kamerach stałopozycyjnych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sygnalizacja dźwiękowa w przypadku wystąpienia alarmu z możliwością przypisania własnych komunikat</w:t>
      </w:r>
      <w:r w:rsidRPr="004C46EC">
        <w:rPr>
          <w:rFonts w:ascii="Acumin Pro" w:hAnsi="Acumin Pro" w:cs="Times New Roman"/>
          <w:sz w:val="20"/>
          <w:szCs w:val="20"/>
          <w:u w:color="000000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 dla każdego ze zdarzeń,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 xml:space="preserve">informacja o alarmie w wyskakującym oknie wraz instrukcją </w:t>
      </w:r>
      <w:r w:rsidRPr="004C46EC">
        <w:rPr>
          <w:rFonts w:ascii="Acumin Pro" w:hAnsi="Acumin Pro" w:cs="Times New Roman"/>
          <w:sz w:val="20"/>
          <w:szCs w:val="20"/>
          <w:u w:color="000000"/>
          <w:lang w:val="it-IT"/>
          <w14:textOutline w14:w="12700" w14:cap="flat" w14:cmpd="sng" w14:algn="ctr">
            <w14:noFill/>
            <w14:prstDash w14:val="solid"/>
            <w14:miter w14:lim="400000"/>
          </w14:textOutline>
        </w:rPr>
        <w:t>post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ępowania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dla operatora,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wymuszenie potwierdzenia odczytania wyświetlonego komunikatu z systemu alarmowego przez operatora,</w:t>
      </w:r>
    </w:p>
    <w:p w:rsidR="00A344FE" w:rsidRPr="004C46EC" w:rsidRDefault="00A344FE" w:rsidP="004C46EC">
      <w:pPr>
        <w:pStyle w:val="Tre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360" w:lineRule="auto"/>
        <w:jc w:val="both"/>
        <w:rPr>
          <w:rFonts w:ascii="Acumin Pro" w:eastAsia="Arial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automatyczna zmiana podziału kamer, dostosowana</w:t>
      </w:r>
      <w:r w:rsidRPr="004C46EC">
        <w:rPr>
          <w:rFonts w:ascii="Acumin Pro" w:hAnsi="Acumin Pro" w:cs="Times New Roman"/>
          <w:sz w:val="20"/>
          <w:szCs w:val="20"/>
          <w:u w:color="000000"/>
          <w:lang w:val="pt-PT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do </w:t>
      </w: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odpowiednich alarm</w:t>
      </w:r>
      <w:r w:rsidRPr="004C46EC">
        <w:rPr>
          <w:rFonts w:ascii="Acumin Pro" w:hAnsi="Acumin Pro" w:cs="Times New Roman"/>
          <w:sz w:val="20"/>
          <w:szCs w:val="20"/>
          <w:u w:color="000000"/>
          <w:lang w:val="es-ES_tradnl"/>
          <w14:textOutline w14:w="12700" w14:cap="flat" w14:cmpd="sng" w14:algn="ctr">
            <w14:noFill/>
            <w14:prstDash w14:val="solid"/>
            <w14:miter w14:lim="400000"/>
          </w14:textOutline>
        </w:rPr>
        <w:t>ó</w:t>
      </w:r>
      <w:r w:rsidRPr="004C46EC">
        <w:rPr>
          <w:rFonts w:ascii="Acumin Pro" w:hAnsi="Acumin Pro" w:cs="Times New Roman"/>
          <w:sz w:val="20"/>
          <w:szCs w:val="20"/>
          <w:u w:color="000000"/>
          <w14:textOutline w14:w="12700" w14:cap="flat" w14:cmpd="sng" w14:algn="ctr">
            <w14:noFill/>
            <w14:prstDash w14:val="solid"/>
            <w14:miter w14:lim="400000"/>
          </w14:textOutline>
        </w:rPr>
        <w:t>w,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A344FE" w:rsidP="004C46EC">
      <w:pPr>
        <w:pStyle w:val="Nagwek"/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Stacja kliencka i monitory. 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ind w:left="750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 Minimalne parametry stacji klienckich (1 sztuki) : 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procesor osiągający wynik nie mniejszy niż 12000 punktów w testach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</w:rPr>
        <w:t>Passmark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 CPU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pamięć RAM min. 16 GB DDR4 2666MHz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dysk systemowy SSD o pojemności min. 240GB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dysk dodatkowy o pojemności min. 2TB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karta graficzna obsługująca 4 monitory, wyposażona w pamięć </w:t>
      </w:r>
      <w:r w:rsidRPr="004C46EC">
        <w:rPr>
          <w:rFonts w:ascii="Acumin Pro" w:hAnsi="Acumin Pro" w:cs="Times New Roman"/>
          <w:sz w:val="20"/>
          <w:szCs w:val="20"/>
          <w:u w:color="000000"/>
          <w:lang w:val="da-DK"/>
        </w:rPr>
        <w:t xml:space="preserve">RAM min </w:t>
      </w: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4GB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system operacyjny 64 bitowy z obsługą „Active Directory” zgodny z wymogami producenta oprogramowania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karta sieciowa 1000 </w:t>
      </w: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</w:rPr>
        <w:t>Mbit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/s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komputer  wyposażony przez producenta w mysz oraz klawiaturę </w:t>
      </w:r>
    </w:p>
    <w:p w:rsidR="00A344FE" w:rsidRPr="004C46EC" w:rsidRDefault="00A344FE" w:rsidP="004C46EC">
      <w:pPr>
        <w:pStyle w:val="Domylne"/>
        <w:numPr>
          <w:ilvl w:val="0"/>
          <w:numId w:val="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gwarancja 36 miesięcy w miejscu instalacji 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Minimalne parametry monitorów 27” (2 sztuki):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praca w trybie ciągłym 24h/7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przekątna: 27”,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rozdzielczość: 1920*1080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podświetlenie: LED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jasność: 300 cd/m2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kontrast: 1000:1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kąt widzenia: 1780/1780 </w:t>
      </w:r>
    </w:p>
    <w:p w:rsid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czas reakcji: 14ms </w:t>
      </w:r>
    </w:p>
    <w:p w:rsidR="00A344FE" w:rsidRPr="004C46EC" w:rsidRDefault="00A344FE" w:rsidP="004C46EC">
      <w:pPr>
        <w:pStyle w:val="Domylne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proofErr w:type="spellStart"/>
      <w:r w:rsidRPr="004C46EC">
        <w:rPr>
          <w:rFonts w:ascii="Acumin Pro" w:hAnsi="Acumin Pro" w:cs="Times New Roman"/>
          <w:sz w:val="20"/>
          <w:szCs w:val="20"/>
          <w:u w:color="000000"/>
        </w:rPr>
        <w:t>wejś</w:t>
      </w:r>
      <w:r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>cia</w:t>
      </w:r>
      <w:proofErr w:type="spellEnd"/>
      <w:r w:rsidRPr="004C46EC">
        <w:rPr>
          <w:rFonts w:ascii="Acumin Pro" w:hAnsi="Acumin Pro" w:cs="Times New Roman"/>
          <w:sz w:val="20"/>
          <w:szCs w:val="20"/>
          <w:u w:color="000000"/>
          <w:lang w:val="de-DE"/>
        </w:rPr>
        <w:t>: DVI-D</w:t>
      </w:r>
      <w:r w:rsidRPr="004C46EC">
        <w:rPr>
          <w:rFonts w:ascii="Acumin Pro" w:hAnsi="Acumin Pro" w:cs="Times New Roman"/>
          <w:sz w:val="20"/>
          <w:szCs w:val="20"/>
          <w:u w:color="000000"/>
        </w:rPr>
        <w:t xml:space="preserve">×1, HDMI×1 </w:t>
      </w: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</w:p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eastAsia="Arial Narrow" w:hAnsi="Acumin Pro" w:cs="Times New Roman"/>
          <w:sz w:val="20"/>
          <w:szCs w:val="20"/>
          <w:u w:color="000000"/>
        </w:rPr>
      </w:pPr>
      <w:r w:rsidRPr="004C46EC">
        <w:rPr>
          <w:rFonts w:ascii="Acumin Pro" w:hAnsi="Acumin Pro" w:cs="Times New Roman"/>
          <w:sz w:val="20"/>
          <w:szCs w:val="20"/>
          <w:u w:color="000000"/>
        </w:rPr>
        <w:t>Zestawienie urządzeń</w:t>
      </w:r>
      <w:bookmarkStart w:id="0" w:name="_GoBack"/>
      <w:bookmarkEnd w:id="0"/>
    </w:p>
    <w:tbl>
      <w:tblPr>
        <w:tblStyle w:val="TableNormal"/>
        <w:tblW w:w="963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407"/>
        <w:gridCol w:w="4816"/>
        <w:gridCol w:w="2407"/>
      </w:tblGrid>
      <w:tr w:rsidR="00A344FE" w:rsidRPr="004C46EC" w:rsidTr="004C46EC">
        <w:trPr>
          <w:trHeight w:val="295"/>
          <w:tblHeader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>Opis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>Ilość</w:t>
            </w:r>
          </w:p>
        </w:tc>
      </w:tr>
      <w:tr w:rsidR="00A344FE" w:rsidRPr="004C46EC" w:rsidTr="004C46EC">
        <w:tblPrEx>
          <w:shd w:val="clear" w:color="auto" w:fill="auto"/>
        </w:tblPrEx>
        <w:trPr>
          <w:trHeight w:val="295"/>
        </w:trPr>
        <w:tc>
          <w:tcPr>
            <w:tcW w:w="240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>Stacja kliencka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2"/>
              <w:spacing w:line="360" w:lineRule="auto"/>
              <w:jc w:val="both"/>
              <w:rPr>
                <w:rFonts w:ascii="Acumin Pro" w:hAnsi="Acumin Pro" w:cs="Times New Roman"/>
              </w:rPr>
            </w:pPr>
            <w:r w:rsidRPr="004C46EC">
              <w:rPr>
                <w:rFonts w:ascii="Acumin Pro" w:eastAsia="Arial Unicode MS" w:hAnsi="Acumin Pro" w:cs="Times New Roman"/>
              </w:rPr>
              <w:t>Komputer i7, 16 GB RAM, dyski SSD + 2 TB,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4C46EC">
              <w:rPr>
                <w:rFonts w:ascii="Acumin Pro" w:hAnsi="Acumin Pro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A344FE" w:rsidRPr="004C46EC" w:rsidTr="004C46EC">
        <w:tblPrEx>
          <w:shd w:val="clear" w:color="auto" w:fill="auto"/>
        </w:tblPrEx>
        <w:trPr>
          <w:trHeight w:val="2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>Monitor 27”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2"/>
              <w:spacing w:line="360" w:lineRule="auto"/>
              <w:jc w:val="both"/>
              <w:rPr>
                <w:rFonts w:ascii="Acumin Pro" w:hAnsi="Acumin Pro" w:cs="Times New Roman"/>
              </w:rPr>
            </w:pPr>
            <w:r w:rsidRPr="004C46EC">
              <w:rPr>
                <w:rFonts w:ascii="Acumin Pro" w:eastAsia="Arial Unicode MS" w:hAnsi="Acumin Pro" w:cs="Times New Roman"/>
              </w:rPr>
              <w:t>Monitor 27” Full HD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4C46EC">
              <w:rPr>
                <w:rFonts w:ascii="Acumin Pro" w:hAnsi="Acumin Pro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</w:tr>
      <w:tr w:rsidR="00A344FE" w:rsidRPr="004C46EC" w:rsidTr="004C46EC">
        <w:tblPrEx>
          <w:shd w:val="clear" w:color="auto" w:fill="auto"/>
        </w:tblPrEx>
        <w:trPr>
          <w:trHeight w:val="2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 xml:space="preserve">Oprogramowanie 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2"/>
              <w:spacing w:line="360" w:lineRule="auto"/>
              <w:jc w:val="both"/>
              <w:rPr>
                <w:rFonts w:ascii="Acumin Pro" w:hAnsi="Acumin Pro" w:cs="Times New Roman"/>
              </w:rPr>
            </w:pPr>
            <w:r w:rsidRPr="004C46EC">
              <w:rPr>
                <w:rFonts w:ascii="Acumin Pro" w:eastAsia="Arial Unicode MS" w:hAnsi="Acumin Pro" w:cs="Times New Roman"/>
              </w:rPr>
              <w:t xml:space="preserve">Licencja bazowa 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4C46EC">
              <w:rPr>
                <w:rFonts w:ascii="Acumin Pro" w:hAnsi="Acumin Pro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A344FE" w:rsidRPr="004C46EC" w:rsidTr="004C46EC">
        <w:tblPrEx>
          <w:shd w:val="clear" w:color="auto" w:fill="auto"/>
        </w:tblPrEx>
        <w:trPr>
          <w:trHeight w:val="481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 xml:space="preserve">Oprogramowanie wtyczka </w:t>
            </w:r>
            <w:proofErr w:type="spellStart"/>
            <w:r w:rsidRPr="004C46EC">
              <w:rPr>
                <w:rFonts w:ascii="Acumin Pro" w:eastAsia="Arial Unicode MS" w:hAnsi="Acumin Pro" w:cs="Times New Roman"/>
                <w:b w:val="0"/>
              </w:rPr>
              <w:t>SSWiN</w:t>
            </w:r>
            <w:proofErr w:type="spellEnd"/>
          </w:p>
        </w:tc>
        <w:tc>
          <w:tcPr>
            <w:tcW w:w="48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2"/>
              <w:spacing w:line="360" w:lineRule="auto"/>
              <w:jc w:val="both"/>
              <w:rPr>
                <w:rFonts w:ascii="Acumin Pro" w:hAnsi="Acumin Pro" w:cs="Times New Roman"/>
              </w:rPr>
            </w:pPr>
            <w:r w:rsidRPr="004C46EC">
              <w:rPr>
                <w:rFonts w:ascii="Acumin Pro" w:eastAsia="Arial Unicode MS" w:hAnsi="Acumin Pro" w:cs="Times New Roman"/>
              </w:rPr>
              <w:t xml:space="preserve">Licencja na podłączenie systemów </w:t>
            </w:r>
            <w:proofErr w:type="spellStart"/>
            <w:r w:rsidRPr="004C46EC">
              <w:rPr>
                <w:rFonts w:ascii="Acumin Pro" w:eastAsia="Arial Unicode MS" w:hAnsi="Acumin Pro" w:cs="Times New Roman"/>
              </w:rPr>
              <w:t>SSWiN</w:t>
            </w:r>
            <w:proofErr w:type="spellEnd"/>
            <w:r w:rsidRPr="004C46EC">
              <w:rPr>
                <w:rFonts w:ascii="Acumin Pro" w:eastAsia="Arial Unicode MS" w:hAnsi="Acumin Pro" w:cs="Times New Roman"/>
              </w:rPr>
              <w:t xml:space="preserve"> </w:t>
            </w:r>
            <w:proofErr w:type="spellStart"/>
            <w:r w:rsidRPr="004C46EC">
              <w:rPr>
                <w:rFonts w:ascii="Acumin Pro" w:eastAsia="Arial Unicode MS" w:hAnsi="Acumin Pro" w:cs="Times New Roman"/>
              </w:rPr>
              <w:t>Satel</w:t>
            </w:r>
            <w:proofErr w:type="spellEnd"/>
            <w:r w:rsidRPr="004C46EC">
              <w:rPr>
                <w:rFonts w:ascii="Acumin Pro" w:eastAsia="Arial Unicode MS" w:hAnsi="Acumin Pro" w:cs="Times New Roman"/>
              </w:rPr>
              <w:t xml:space="preserve"> 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4C46EC">
              <w:rPr>
                <w:rFonts w:ascii="Acumin Pro" w:hAnsi="Acumin Pro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  <w:tr w:rsidR="00A344FE" w:rsidRPr="004C46EC" w:rsidTr="004C46EC">
        <w:tblPrEx>
          <w:shd w:val="clear" w:color="auto" w:fill="auto"/>
        </w:tblPrEx>
        <w:trPr>
          <w:trHeight w:val="481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1"/>
              <w:spacing w:line="360" w:lineRule="auto"/>
              <w:jc w:val="both"/>
              <w:rPr>
                <w:rFonts w:ascii="Acumin Pro" w:hAnsi="Acumin Pro" w:cs="Times New Roman"/>
                <w:b w:val="0"/>
              </w:rPr>
            </w:pPr>
            <w:r w:rsidRPr="004C46EC">
              <w:rPr>
                <w:rFonts w:ascii="Acumin Pro" w:eastAsia="Arial Unicode MS" w:hAnsi="Acumin Pro" w:cs="Times New Roman"/>
                <w:b w:val="0"/>
              </w:rPr>
              <w:t>Oprogramowanie SEI 250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pStyle w:val="Styltabeli2"/>
              <w:spacing w:line="360" w:lineRule="auto"/>
              <w:jc w:val="both"/>
              <w:rPr>
                <w:rFonts w:ascii="Acumin Pro" w:hAnsi="Acumin Pro" w:cs="Times New Roman"/>
              </w:rPr>
            </w:pPr>
            <w:r w:rsidRPr="004C46EC">
              <w:rPr>
                <w:rFonts w:ascii="Acumin Pro" w:eastAsia="Arial Unicode MS" w:hAnsi="Acumin Pro" w:cs="Times New Roman"/>
              </w:rPr>
              <w:t xml:space="preserve">Licencja na obsługę 250 elementów </w:t>
            </w:r>
            <w:proofErr w:type="spellStart"/>
            <w:r w:rsidRPr="004C46EC">
              <w:rPr>
                <w:rFonts w:ascii="Acumin Pro" w:eastAsia="Arial Unicode MS" w:hAnsi="Acumin Pro" w:cs="Times New Roman"/>
              </w:rPr>
              <w:t>SSWiN</w:t>
            </w:r>
            <w:proofErr w:type="spellEnd"/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44FE" w:rsidRPr="004C46EC" w:rsidRDefault="00A344FE" w:rsidP="004C46EC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4C46EC">
              <w:rPr>
                <w:rFonts w:ascii="Acumin Pro" w:hAnsi="Acumin Pro"/>
                <w:color w:val="000000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</w:tr>
    </w:tbl>
    <w:p w:rsidR="00A344FE" w:rsidRPr="004C46EC" w:rsidRDefault="00A344FE" w:rsidP="004C46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180E6C" w:rsidRPr="004C46EC" w:rsidRDefault="00180E6C" w:rsidP="004C46EC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sectPr w:rsidR="00180E6C" w:rsidRPr="004C46EC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A07" w:rsidRDefault="009D1A07">
      <w:r>
        <w:separator/>
      </w:r>
    </w:p>
  </w:endnote>
  <w:endnote w:type="continuationSeparator" w:id="0">
    <w:p w:rsidR="009D1A07" w:rsidRDefault="009D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FE2" w:rsidRDefault="004C46E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A07" w:rsidRDefault="009D1A07">
      <w:r>
        <w:separator/>
      </w:r>
    </w:p>
  </w:footnote>
  <w:footnote w:type="continuationSeparator" w:id="0">
    <w:p w:rsidR="009D1A07" w:rsidRDefault="009D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FE2" w:rsidRDefault="004C46E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42BC7"/>
    <w:multiLevelType w:val="hybridMultilevel"/>
    <w:tmpl w:val="7D246D8C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0BB8"/>
    <w:multiLevelType w:val="hybridMultilevel"/>
    <w:tmpl w:val="8A9893C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C2117"/>
    <w:multiLevelType w:val="hybridMultilevel"/>
    <w:tmpl w:val="A1CE042C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B126D3C">
      <w:numFmt w:val="bullet"/>
      <w:lvlText w:val="-"/>
      <w:lvlJc w:val="left"/>
      <w:pPr>
        <w:ind w:left="1440" w:hanging="360"/>
      </w:pPr>
      <w:rPr>
        <w:rFonts w:ascii="Acumin Pro" w:eastAsia="Arial Unicode MS" w:hAnsi="Acumin Pro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196"/>
    <w:multiLevelType w:val="hybridMultilevel"/>
    <w:tmpl w:val="76DEBB6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3C24C0"/>
    <w:multiLevelType w:val="hybridMultilevel"/>
    <w:tmpl w:val="0758F4A8"/>
    <w:styleLink w:val="Kreski"/>
    <w:lvl w:ilvl="0" w:tplc="6A5246E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C456C8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432076E4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709CB44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249A85D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25FA2D78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C02E221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C6A8918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713EEB1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5" w15:restartNumberingAfterBreak="0">
    <w:nsid w:val="4B8A20B2"/>
    <w:multiLevelType w:val="hybridMultilevel"/>
    <w:tmpl w:val="079AF9C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EB09FC"/>
    <w:multiLevelType w:val="hybridMultilevel"/>
    <w:tmpl w:val="0758F4A8"/>
    <w:numStyleLink w:val="Kreski"/>
  </w:abstractNum>
  <w:num w:numId="1">
    <w:abstractNumId w:val="4"/>
  </w:num>
  <w:num w:numId="2">
    <w:abstractNumId w:val="6"/>
  </w:num>
  <w:num w:numId="3">
    <w:abstractNumId w:val="6"/>
    <w:lvlOverride w:ilvl="0">
      <w:lvl w:ilvl="0" w:tplc="36D016A2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00" w:hanging="20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1">
      <w:lvl w:ilvl="1" w:tplc="84CCFCA8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8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2">
      <w:lvl w:ilvl="2" w:tplc="5B38FB9A">
        <w:start w:val="1"/>
        <w:numFmt w:val="bullet"/>
        <w:lvlText w:val="-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2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3">
      <w:lvl w:ilvl="3" w:tplc="E220633E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96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4">
      <w:lvl w:ilvl="4" w:tplc="D6E6EEBC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20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5">
      <w:lvl w:ilvl="5" w:tplc="5712DB0C">
        <w:start w:val="1"/>
        <w:numFmt w:val="bullet"/>
        <w:lvlText w:val="-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4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6">
      <w:lvl w:ilvl="6" w:tplc="F9B2BDFA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68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7">
      <w:lvl w:ilvl="7" w:tplc="B2B68C2C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92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8">
      <w:lvl w:ilvl="8" w:tplc="0412810E">
        <w:start w:val="1"/>
        <w:numFmt w:val="bullet"/>
        <w:lvlText w:val="-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60" w:hanging="24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</w:num>
  <w:num w:numId="4">
    <w:abstractNumId w:val="6"/>
    <w:lvlOverride w:ilvl="0">
      <w:lvl w:ilvl="0" w:tplc="36D016A2">
        <w:start w:val="1"/>
        <w:numFmt w:val="bullet"/>
        <w:lvlText w:val="-"/>
        <w:lvlJc w:val="left"/>
        <w:pPr>
          <w:ind w:left="39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1">
      <w:lvl w:ilvl="1" w:tplc="84CCFCA8">
        <w:start w:val="1"/>
        <w:numFmt w:val="bullet"/>
        <w:lvlText w:val="-"/>
        <w:lvlJc w:val="left"/>
        <w:pPr>
          <w:ind w:left="63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2">
      <w:lvl w:ilvl="2" w:tplc="5B38FB9A">
        <w:start w:val="1"/>
        <w:numFmt w:val="bullet"/>
        <w:lvlText w:val="-"/>
        <w:lvlJc w:val="left"/>
        <w:pPr>
          <w:ind w:left="87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3">
      <w:lvl w:ilvl="3" w:tplc="E220633E">
        <w:start w:val="1"/>
        <w:numFmt w:val="bullet"/>
        <w:lvlText w:val="-"/>
        <w:lvlJc w:val="left"/>
        <w:pPr>
          <w:ind w:left="111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4">
      <w:lvl w:ilvl="4" w:tplc="D6E6EEBC">
        <w:start w:val="1"/>
        <w:numFmt w:val="bullet"/>
        <w:lvlText w:val="-"/>
        <w:lvlJc w:val="left"/>
        <w:pPr>
          <w:ind w:left="135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5">
      <w:lvl w:ilvl="5" w:tplc="5712DB0C">
        <w:start w:val="1"/>
        <w:numFmt w:val="bullet"/>
        <w:lvlText w:val="-"/>
        <w:lvlJc w:val="left"/>
        <w:pPr>
          <w:ind w:left="159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6">
      <w:lvl w:ilvl="6" w:tplc="F9B2BDFA">
        <w:start w:val="1"/>
        <w:numFmt w:val="bullet"/>
        <w:lvlText w:val="-"/>
        <w:lvlJc w:val="left"/>
        <w:pPr>
          <w:ind w:left="183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7">
      <w:lvl w:ilvl="7" w:tplc="B2B68C2C">
        <w:start w:val="1"/>
        <w:numFmt w:val="bullet"/>
        <w:lvlText w:val="-"/>
        <w:lvlJc w:val="left"/>
        <w:pPr>
          <w:ind w:left="207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  <w:lvlOverride w:ilvl="8">
      <w:lvl w:ilvl="8" w:tplc="0412810E">
        <w:start w:val="1"/>
        <w:numFmt w:val="bullet"/>
        <w:lvlText w:val="-"/>
        <w:lvlJc w:val="left"/>
        <w:pPr>
          <w:ind w:left="2313" w:hanging="393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43"/>
          <w:szCs w:val="43"/>
          <w:highlight w:val="none"/>
          <w:vertAlign w:val="baseline"/>
        </w:rPr>
      </w:lvl>
    </w:lvlOverride>
  </w:num>
  <w:num w:numId="5">
    <w:abstractNumId w:val="2"/>
  </w:num>
  <w:num w:numId="6">
    <w:abstractNumId w:val="1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FE"/>
    <w:rsid w:val="00090666"/>
    <w:rsid w:val="000E6F90"/>
    <w:rsid w:val="00180E6C"/>
    <w:rsid w:val="002A14AB"/>
    <w:rsid w:val="004C46EC"/>
    <w:rsid w:val="0092434F"/>
    <w:rsid w:val="009D1A07"/>
    <w:rsid w:val="00A344FE"/>
    <w:rsid w:val="00B72679"/>
    <w:rsid w:val="00C4186F"/>
    <w:rsid w:val="00D66268"/>
    <w:rsid w:val="00DF5495"/>
    <w:rsid w:val="00ED1B46"/>
    <w:rsid w:val="00F2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069A"/>
  <w15:chartTrackingRefBased/>
  <w15:docId w15:val="{DFD1F3F3-4C57-4B23-805F-80B05EE8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rsid w:val="00A344FE"/>
    <w:pPr>
      <w:numPr>
        <w:numId w:val="1"/>
      </w:numPr>
    </w:pPr>
  </w:style>
  <w:style w:type="paragraph" w:styleId="Nagwek">
    <w:name w:val="header"/>
    <w:next w:val="Tre"/>
    <w:link w:val="NagwekZnak"/>
    <w:rsid w:val="00A344FE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Helvetica Neue" w:eastAsia="Arial Unicode MS" w:hAnsi="Helvetica Neue" w:cs="Arial Unicode MS"/>
      <w:b/>
      <w:bCs/>
      <w:color w:val="000000"/>
      <w:sz w:val="36"/>
      <w:szCs w:val="36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Znak">
    <w:name w:val="Nagłówek Znak"/>
    <w:basedOn w:val="Domylnaczcionkaakapitu"/>
    <w:link w:val="Nagwek"/>
    <w:rsid w:val="00A344FE"/>
    <w:rPr>
      <w:rFonts w:ascii="Helvetica Neue" w:eastAsia="Arial Unicode MS" w:hAnsi="Helvetica Neue" w:cs="Arial Unicode MS"/>
      <w:b/>
      <w:bCs/>
      <w:color w:val="000000"/>
      <w:sz w:val="36"/>
      <w:szCs w:val="36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1">
    <w:name w:val="Styl tabeli 1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b/>
      <w:bCs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A344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1232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Smokowski</dc:creator>
  <cp:keywords/>
  <dc:description/>
  <cp:lastModifiedBy>Agnieszka</cp:lastModifiedBy>
  <cp:revision>7</cp:revision>
  <dcterms:created xsi:type="dcterms:W3CDTF">2022-11-06T17:42:00Z</dcterms:created>
  <dcterms:modified xsi:type="dcterms:W3CDTF">2022-11-07T11:53:00Z</dcterms:modified>
</cp:coreProperties>
</file>