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086" w:rsidRPr="003261F2" w:rsidRDefault="00790086" w:rsidP="00790086">
      <w:pPr>
        <w:spacing w:after="0" w:line="276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3261F2">
        <w:rPr>
          <w:rFonts w:ascii="Acumin Pro" w:hAnsi="Acumin Pro"/>
          <w:b/>
          <w:bCs/>
          <w:sz w:val="20"/>
          <w:szCs w:val="20"/>
        </w:rPr>
        <w:t xml:space="preserve">Załącznik nr 1 </w:t>
      </w:r>
      <w:r w:rsidR="00D7587F">
        <w:rPr>
          <w:rFonts w:ascii="Acumin Pro" w:hAnsi="Acumin Pro"/>
          <w:b/>
          <w:bCs/>
          <w:sz w:val="20"/>
          <w:szCs w:val="20"/>
        </w:rPr>
        <w:t>do AZ.281.63.U.2021</w:t>
      </w:r>
      <w:bookmarkStart w:id="0" w:name="_GoBack"/>
      <w:bookmarkEnd w:id="0"/>
    </w:p>
    <w:p w:rsidR="00790086" w:rsidRPr="003261F2" w:rsidRDefault="00790086" w:rsidP="00790086">
      <w:pPr>
        <w:spacing w:after="0" w:line="276" w:lineRule="auto"/>
        <w:jc w:val="both"/>
        <w:rPr>
          <w:rFonts w:ascii="Acumin Pro" w:hAnsi="Acumin Pro"/>
          <w:b/>
          <w:bCs/>
          <w:sz w:val="20"/>
          <w:szCs w:val="20"/>
        </w:rPr>
      </w:pPr>
    </w:p>
    <w:p w:rsidR="00790086" w:rsidRPr="003261F2" w:rsidRDefault="00790086" w:rsidP="00790086">
      <w:pPr>
        <w:spacing w:after="0" w:line="276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3261F2">
        <w:rPr>
          <w:rFonts w:ascii="Acumin Pro" w:hAnsi="Acumin Pro"/>
          <w:b/>
          <w:bCs/>
          <w:sz w:val="20"/>
          <w:szCs w:val="20"/>
        </w:rPr>
        <w:t>OPIS PRZEDMIOTU ZAMÓWIENIA</w:t>
      </w:r>
    </w:p>
    <w:p w:rsidR="00790086" w:rsidRPr="003261F2" w:rsidRDefault="00790086" w:rsidP="00790086">
      <w:pPr>
        <w:spacing w:after="0" w:line="276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:rsidR="00790086" w:rsidRPr="003261F2" w:rsidRDefault="00790086" w:rsidP="00790086">
      <w:pPr>
        <w:pStyle w:val="Akapitzlist"/>
        <w:numPr>
          <w:ilvl w:val="0"/>
          <w:numId w:val="1"/>
        </w:numPr>
        <w:spacing w:after="0" w:line="276" w:lineRule="auto"/>
        <w:ind w:left="0" w:hanging="283"/>
        <w:jc w:val="both"/>
        <w:rPr>
          <w:rFonts w:ascii="Acumin Pro" w:hAnsi="Acumin Pro" w:cstheme="minorHAnsi"/>
          <w:b/>
          <w:sz w:val="20"/>
          <w:szCs w:val="20"/>
        </w:rPr>
      </w:pPr>
      <w:r w:rsidRPr="003261F2">
        <w:rPr>
          <w:rFonts w:ascii="Acumin Pro" w:hAnsi="Acumin Pro" w:cstheme="minorHAnsi"/>
          <w:b/>
          <w:sz w:val="20"/>
          <w:szCs w:val="20"/>
        </w:rPr>
        <w:t xml:space="preserve">Zakup i wymiana oprzyrządowania w urządzeniach sterowniczych służących do zarządzania układem wody lodowej oraz dostawa podzespołów do bezprzewodowego pomiaru warunków środowiskowych na powierzchni wystawowej w galerii na parterze gmachu głównego Muzeum Narodowego w Poznaniu przy Al. Marcinkowskiego 9. </w:t>
      </w:r>
    </w:p>
    <w:p w:rsidR="00790086" w:rsidRPr="003261F2" w:rsidRDefault="00790086" w:rsidP="00790086">
      <w:pPr>
        <w:pStyle w:val="Akapitzlist"/>
        <w:spacing w:after="0" w:line="276" w:lineRule="auto"/>
        <w:ind w:left="0"/>
        <w:jc w:val="both"/>
        <w:rPr>
          <w:rFonts w:ascii="Acumin Pro" w:hAnsi="Acumin Pro" w:cstheme="minorHAnsi"/>
          <w:b/>
          <w:sz w:val="20"/>
          <w:szCs w:val="20"/>
        </w:rPr>
      </w:pPr>
    </w:p>
    <w:p w:rsidR="00790086" w:rsidRPr="003261F2" w:rsidRDefault="00790086" w:rsidP="00790086">
      <w:pPr>
        <w:pStyle w:val="Akapitzlist"/>
        <w:spacing w:after="0" w:line="276" w:lineRule="auto"/>
        <w:ind w:left="0"/>
        <w:jc w:val="both"/>
        <w:rPr>
          <w:rFonts w:ascii="Acumin Pro" w:hAnsi="Acumin Pro" w:cstheme="minorHAnsi"/>
          <w:sz w:val="20"/>
          <w:szCs w:val="20"/>
          <w:u w:val="single"/>
        </w:rPr>
      </w:pPr>
      <w:r w:rsidRPr="003261F2">
        <w:rPr>
          <w:rFonts w:ascii="Acumin Pro" w:hAnsi="Acumin Pro" w:cstheme="minorHAnsi"/>
          <w:sz w:val="20"/>
          <w:szCs w:val="20"/>
          <w:u w:val="single"/>
        </w:rPr>
        <w:t>Zakres prac objętych przedmiotem zamówienia:</w:t>
      </w:r>
    </w:p>
    <w:p w:rsidR="00790086" w:rsidRPr="003261F2" w:rsidRDefault="00790086" w:rsidP="00790086">
      <w:pPr>
        <w:pStyle w:val="Akapitzlist"/>
        <w:spacing w:after="0" w:line="276" w:lineRule="auto"/>
        <w:ind w:left="0"/>
        <w:jc w:val="both"/>
        <w:rPr>
          <w:rFonts w:ascii="Acumin Pro" w:hAnsi="Acumin Pro" w:cstheme="minorHAnsi"/>
          <w:sz w:val="20"/>
          <w:szCs w:val="20"/>
          <w:u w:val="single"/>
        </w:rPr>
      </w:pP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Demontaż istniejącego sterownika w rozdzielni SKP2_1 Honeywell XL5010 z modułami wejściowo/wyjściowymi </w:t>
      </w:r>
      <w:r w:rsidRPr="003261F2">
        <w:rPr>
          <w:rFonts w:ascii="Acumin Pro" w:hAnsi="Acumin Pro" w:cstheme="minorHAnsi"/>
          <w:b/>
          <w:sz w:val="20"/>
          <w:szCs w:val="20"/>
        </w:rPr>
        <w:t>13 szt</w:t>
      </w:r>
      <w:r w:rsidRPr="003261F2">
        <w:rPr>
          <w:rFonts w:ascii="Acumin Pro" w:hAnsi="Acumin Pro" w:cstheme="minorHAnsi"/>
          <w:sz w:val="20"/>
          <w:szCs w:val="20"/>
        </w:rPr>
        <w:t xml:space="preserve">. </w:t>
      </w: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Demontaż istniejących kablowych czujników temperatury i wilgotności </w:t>
      </w:r>
      <w:r w:rsidRPr="003261F2">
        <w:rPr>
          <w:rFonts w:ascii="Acumin Pro" w:hAnsi="Acumin Pro" w:cstheme="minorHAnsi"/>
          <w:b/>
          <w:sz w:val="20"/>
          <w:szCs w:val="20"/>
        </w:rPr>
        <w:t>(2 szt.)</w:t>
      </w:r>
      <w:r w:rsidRPr="003261F2">
        <w:rPr>
          <w:rFonts w:ascii="Acumin Pro" w:hAnsi="Acumin Pro" w:cstheme="minorHAnsi"/>
          <w:sz w:val="20"/>
          <w:szCs w:val="20"/>
        </w:rPr>
        <w:t xml:space="preserve"> w galerii na parterze. </w:t>
      </w: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Po demontażu elementy przekazać do Zamawiającego. </w:t>
      </w: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Montaż nowego sterownika w rozdzielni SKP2_1 oraz skojarzonych z nim modułów wejściowo/wyjściowych oraz wykonanie niezbędnych prac adaptacyjnych, przystosowujących rozdzielnię do </w:t>
      </w:r>
      <w:r w:rsidR="00D5680F" w:rsidRPr="003261F2">
        <w:rPr>
          <w:rFonts w:ascii="Acumin Pro" w:hAnsi="Acumin Pro" w:cstheme="minorHAnsi"/>
          <w:sz w:val="20"/>
          <w:szCs w:val="20"/>
        </w:rPr>
        <w:t>nowego systemu</w:t>
      </w:r>
      <w:r w:rsidR="00D5680F">
        <w:rPr>
          <w:rFonts w:ascii="Acumin Pro" w:hAnsi="Acumin Pro" w:cstheme="minorHAnsi"/>
          <w:sz w:val="20"/>
          <w:szCs w:val="20"/>
        </w:rPr>
        <w:t xml:space="preserve"> </w:t>
      </w:r>
      <w:r w:rsidRPr="003261F2">
        <w:rPr>
          <w:rFonts w:ascii="Acumin Pro" w:hAnsi="Acumin Pro" w:cstheme="minorHAnsi"/>
          <w:sz w:val="20"/>
          <w:szCs w:val="20"/>
        </w:rPr>
        <w:t>w tym wymiana przekaźników</w:t>
      </w:r>
    </w:p>
    <w:p w:rsidR="00790086" w:rsidRPr="003261F2" w:rsidRDefault="00790086" w:rsidP="0079008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2-torowych: </w:t>
      </w:r>
      <w:r w:rsidRPr="003261F2">
        <w:rPr>
          <w:rFonts w:ascii="Acumin Pro" w:hAnsi="Acumin Pro" w:cstheme="minorHAnsi"/>
          <w:b/>
          <w:sz w:val="20"/>
          <w:szCs w:val="20"/>
        </w:rPr>
        <w:t xml:space="preserve">33szt., </w:t>
      </w:r>
    </w:p>
    <w:p w:rsidR="00790086" w:rsidRPr="003261F2" w:rsidRDefault="00790086" w:rsidP="0079008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4-torowych: </w:t>
      </w:r>
      <w:r w:rsidRPr="003261F2">
        <w:rPr>
          <w:rFonts w:ascii="Acumin Pro" w:hAnsi="Acumin Pro" w:cstheme="minorHAnsi"/>
          <w:b/>
          <w:sz w:val="20"/>
          <w:szCs w:val="20"/>
        </w:rPr>
        <w:t>68 szt.,</w:t>
      </w:r>
      <w:r w:rsidRPr="003261F2">
        <w:rPr>
          <w:rFonts w:ascii="Acumin Pro" w:hAnsi="Acumin Pro" w:cstheme="minorHAnsi"/>
          <w:sz w:val="20"/>
          <w:szCs w:val="20"/>
        </w:rPr>
        <w:t xml:space="preserve"> </w:t>
      </w:r>
    </w:p>
    <w:p w:rsidR="00790086" w:rsidRPr="003261F2" w:rsidRDefault="00790086" w:rsidP="0079008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przełączników 0/1 lub 1/0/2 </w:t>
      </w:r>
      <w:proofErr w:type="spellStart"/>
      <w:r w:rsidRPr="003261F2">
        <w:rPr>
          <w:rFonts w:ascii="Acumin Pro" w:hAnsi="Acumin Pro" w:cstheme="minorHAnsi"/>
          <w:sz w:val="20"/>
          <w:szCs w:val="20"/>
        </w:rPr>
        <w:t>natablicowych</w:t>
      </w:r>
      <w:proofErr w:type="spellEnd"/>
      <w:r w:rsidRPr="003261F2">
        <w:rPr>
          <w:rFonts w:ascii="Acumin Pro" w:hAnsi="Acumin Pro" w:cstheme="minorHAnsi"/>
          <w:sz w:val="20"/>
          <w:szCs w:val="20"/>
        </w:rPr>
        <w:t xml:space="preserve">: </w:t>
      </w:r>
      <w:r w:rsidRPr="003261F2">
        <w:rPr>
          <w:rFonts w:ascii="Acumin Pro" w:hAnsi="Acumin Pro" w:cstheme="minorHAnsi"/>
          <w:b/>
          <w:sz w:val="20"/>
          <w:szCs w:val="20"/>
        </w:rPr>
        <w:t>23 szt.,</w:t>
      </w:r>
    </w:p>
    <w:p w:rsidR="00790086" w:rsidRPr="00D5680F" w:rsidRDefault="00790086" w:rsidP="0079008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 xml:space="preserve">lampek kontrolnych 24/230VAC: </w:t>
      </w:r>
      <w:r w:rsidRPr="003261F2">
        <w:rPr>
          <w:rFonts w:ascii="Acumin Pro" w:hAnsi="Acumin Pro" w:cstheme="minorHAnsi"/>
          <w:b/>
          <w:sz w:val="20"/>
          <w:szCs w:val="20"/>
        </w:rPr>
        <w:t>41 szt</w:t>
      </w:r>
      <w:r w:rsidRPr="003261F2">
        <w:rPr>
          <w:rFonts w:ascii="Acumin Pro" w:hAnsi="Acumin Pro" w:cstheme="minorHAnsi"/>
          <w:sz w:val="20"/>
          <w:szCs w:val="20"/>
        </w:rPr>
        <w:t xml:space="preserve">.; </w:t>
      </w:r>
      <w:r w:rsidRPr="003261F2">
        <w:rPr>
          <w:rFonts w:ascii="Acumin Pro" w:hAnsi="Acumin Pro" w:cstheme="minorHAnsi"/>
          <w:sz w:val="20"/>
          <w:szCs w:val="20"/>
          <w:u w:val="single"/>
        </w:rPr>
        <w:t xml:space="preserve">specyfikacja urządzeń wg dokumentacji do wglądu u </w:t>
      </w:r>
      <w:r w:rsidRPr="00D5680F">
        <w:rPr>
          <w:rFonts w:ascii="Acumin Pro" w:hAnsi="Acumin Pro" w:cstheme="minorHAnsi"/>
          <w:sz w:val="20"/>
          <w:szCs w:val="20"/>
          <w:u w:val="single"/>
        </w:rPr>
        <w:t>Zamawiającego</w:t>
      </w:r>
      <w:r w:rsidRPr="00D5680F">
        <w:rPr>
          <w:rFonts w:ascii="Acumin Pro" w:hAnsi="Acumin Pro" w:cstheme="minorHAnsi"/>
          <w:sz w:val="20"/>
          <w:szCs w:val="20"/>
        </w:rPr>
        <w:t xml:space="preserve">, </w:t>
      </w:r>
    </w:p>
    <w:p w:rsidR="00790086" w:rsidRPr="00D5680F" w:rsidRDefault="00790086" w:rsidP="0079008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bookmarkStart w:id="1" w:name="_Hlk86119985"/>
      <w:r w:rsidRPr="00D5680F">
        <w:rPr>
          <w:rFonts w:ascii="Acumin Pro" w:hAnsi="Acumin Pro" w:cstheme="minorHAnsi"/>
          <w:sz w:val="20"/>
          <w:szCs w:val="20"/>
        </w:rPr>
        <w:t xml:space="preserve">ułożenie magistrali komunikacyjnej </w:t>
      </w:r>
      <w:r w:rsidR="00FA42DD" w:rsidRPr="00D5680F">
        <w:rPr>
          <w:rFonts w:ascii="Acumin Pro" w:hAnsi="Acumin Pro" w:cstheme="minorHAnsi"/>
          <w:sz w:val="20"/>
          <w:szCs w:val="20"/>
        </w:rPr>
        <w:t xml:space="preserve">Ethernet </w:t>
      </w:r>
      <w:r w:rsidRPr="00D5680F">
        <w:rPr>
          <w:rFonts w:ascii="Acumin Pro" w:hAnsi="Acumin Pro" w:cstheme="minorHAnsi"/>
          <w:sz w:val="20"/>
          <w:szCs w:val="20"/>
        </w:rPr>
        <w:t xml:space="preserve">od rozdzielni </w:t>
      </w:r>
      <w:r w:rsidR="00FA42DD" w:rsidRPr="00D5680F">
        <w:rPr>
          <w:rFonts w:ascii="Acumin Pro" w:hAnsi="Acumin Pro" w:cstheme="minorHAnsi"/>
          <w:sz w:val="20"/>
          <w:szCs w:val="20"/>
        </w:rPr>
        <w:t xml:space="preserve">SKP2_1 </w:t>
      </w:r>
      <w:r w:rsidRPr="00D5680F">
        <w:rPr>
          <w:rFonts w:ascii="Acumin Pro" w:hAnsi="Acumin Pro" w:cstheme="minorHAnsi"/>
          <w:sz w:val="20"/>
          <w:szCs w:val="20"/>
        </w:rPr>
        <w:t xml:space="preserve">do nowego serwera BMS, </w:t>
      </w:r>
    </w:p>
    <w:bookmarkEnd w:id="1"/>
    <w:p w:rsidR="00790086" w:rsidRPr="00D5680F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D5680F">
        <w:rPr>
          <w:rFonts w:ascii="Acumin Pro" w:hAnsi="Acumin Pro" w:cstheme="minorHAnsi"/>
          <w:sz w:val="20"/>
          <w:szCs w:val="20"/>
        </w:rPr>
        <w:t xml:space="preserve">Montaż </w:t>
      </w:r>
      <w:r w:rsidRPr="00D5680F">
        <w:rPr>
          <w:rFonts w:ascii="Acumin Pro" w:hAnsi="Acumin Pro" w:cstheme="minorHAnsi"/>
          <w:b/>
          <w:sz w:val="20"/>
          <w:szCs w:val="20"/>
        </w:rPr>
        <w:t>1 szt</w:t>
      </w:r>
      <w:r w:rsidRPr="00D5680F">
        <w:rPr>
          <w:rFonts w:ascii="Acumin Pro" w:hAnsi="Acumin Pro" w:cstheme="minorHAnsi"/>
          <w:sz w:val="20"/>
          <w:szCs w:val="20"/>
        </w:rPr>
        <w:t xml:space="preserve">. odbiornika radiowego w galerii oraz </w:t>
      </w:r>
      <w:r w:rsidRPr="00D5680F">
        <w:rPr>
          <w:rFonts w:ascii="Acumin Pro" w:hAnsi="Acumin Pro" w:cstheme="minorHAnsi"/>
          <w:b/>
          <w:sz w:val="20"/>
          <w:szCs w:val="20"/>
        </w:rPr>
        <w:t xml:space="preserve">2 </w:t>
      </w:r>
      <w:r w:rsidR="00D5680F" w:rsidRPr="00D5680F">
        <w:rPr>
          <w:rFonts w:ascii="Acumin Pro" w:hAnsi="Acumin Pro" w:cstheme="minorHAnsi"/>
          <w:b/>
          <w:sz w:val="20"/>
          <w:szCs w:val="20"/>
        </w:rPr>
        <w:t>szt.</w:t>
      </w:r>
      <w:r w:rsidR="00D5680F" w:rsidRPr="00D5680F">
        <w:rPr>
          <w:rFonts w:ascii="Acumin Pro" w:hAnsi="Acumin Pro" w:cstheme="minorHAnsi"/>
          <w:sz w:val="20"/>
          <w:szCs w:val="20"/>
        </w:rPr>
        <w:t xml:space="preserve"> bezprzewodowych</w:t>
      </w:r>
      <w:r w:rsidRPr="00D5680F">
        <w:rPr>
          <w:rFonts w:ascii="Acumin Pro" w:hAnsi="Acumin Pro" w:cstheme="minorHAnsi"/>
          <w:sz w:val="20"/>
          <w:szCs w:val="20"/>
        </w:rPr>
        <w:t xml:space="preserve"> czujników temperatury i wilgotności</w:t>
      </w:r>
      <w:r w:rsidR="00FA42DD" w:rsidRPr="00D5680F">
        <w:rPr>
          <w:rFonts w:ascii="Acumin Pro" w:hAnsi="Acumin Pro" w:cstheme="minorHAnsi"/>
          <w:sz w:val="20"/>
          <w:szCs w:val="20"/>
        </w:rPr>
        <w:t xml:space="preserve"> (sieć MESH)</w:t>
      </w:r>
      <w:r w:rsidRPr="00D5680F">
        <w:rPr>
          <w:rFonts w:ascii="Acumin Pro" w:hAnsi="Acumin Pro" w:cstheme="minorHAnsi"/>
          <w:sz w:val="20"/>
          <w:szCs w:val="20"/>
        </w:rPr>
        <w:t>;</w:t>
      </w:r>
      <w:r w:rsidR="00FA42DD" w:rsidRPr="00D5680F">
        <w:rPr>
          <w:rFonts w:ascii="Acumin Pro" w:hAnsi="Acumin Pro" w:cstheme="minorHAnsi"/>
          <w:sz w:val="20"/>
          <w:szCs w:val="20"/>
        </w:rPr>
        <w:t xml:space="preserve"> m</w:t>
      </w:r>
      <w:r w:rsidRPr="00D5680F">
        <w:rPr>
          <w:rFonts w:ascii="Acumin Pro" w:hAnsi="Acumin Pro" w:cstheme="minorHAnsi"/>
          <w:sz w:val="20"/>
          <w:szCs w:val="20"/>
        </w:rPr>
        <w:t>ontaż w rozdzielni SKP_1 nowego sterownika integrującego system bezprzewodowy z istniejącą strukturą sterowników zarządzających pracą wody lodowej, grzewczej i wentylacji/klimatyzacji</w:t>
      </w:r>
      <w:r w:rsidR="00FA42DD" w:rsidRPr="00D5680F">
        <w:rPr>
          <w:rFonts w:ascii="Acumin Pro" w:hAnsi="Acumin Pro" w:cstheme="minorHAnsi"/>
          <w:sz w:val="20"/>
          <w:szCs w:val="20"/>
        </w:rPr>
        <w:t>; ułożenie magistrali komunikacyjnej Ethernet od rozdzielni SKP_1 do nowego serwera BMS,</w:t>
      </w:r>
    </w:p>
    <w:p w:rsidR="00790086" w:rsidRPr="00D5680F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D5680F">
        <w:rPr>
          <w:rFonts w:ascii="Acumin Pro" w:hAnsi="Acumin Pro" w:cstheme="minorHAnsi"/>
          <w:sz w:val="20"/>
          <w:szCs w:val="20"/>
        </w:rPr>
        <w:t>Zaprogramowanie sterownika w rozdzielni SKP2_1 wg dotychczasowego algorytmu sterowania.</w:t>
      </w:r>
    </w:p>
    <w:p w:rsidR="00790086" w:rsidRPr="00D5680F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D5680F">
        <w:rPr>
          <w:rFonts w:ascii="Acumin Pro" w:hAnsi="Acumin Pro" w:cstheme="minorHAnsi"/>
          <w:sz w:val="20"/>
          <w:szCs w:val="20"/>
        </w:rPr>
        <w:t xml:space="preserve">Zaprogramowanie sterownika w rozdzielni SKP_1 w celu przyłączenia sygnałów pomiarowych z bezprzewodowego systemu pomiaru parametrów środowiskowych. </w:t>
      </w:r>
    </w:p>
    <w:p w:rsidR="00790086" w:rsidRPr="00D5680F" w:rsidRDefault="00790086" w:rsidP="00790086">
      <w:pPr>
        <w:pStyle w:val="Akapitzlist"/>
        <w:spacing w:after="0" w:line="276" w:lineRule="auto"/>
        <w:ind w:left="0"/>
        <w:jc w:val="both"/>
        <w:rPr>
          <w:rFonts w:ascii="Acumin Pro" w:hAnsi="Acumin Pro" w:cstheme="minorHAnsi"/>
          <w:sz w:val="20"/>
          <w:szCs w:val="20"/>
        </w:rPr>
      </w:pPr>
      <w:r w:rsidRPr="00D5680F">
        <w:rPr>
          <w:rFonts w:ascii="Acumin Pro" w:hAnsi="Acumin Pro" w:cstheme="minorHAnsi"/>
          <w:sz w:val="20"/>
          <w:szCs w:val="20"/>
        </w:rPr>
        <w:t>Zaprogramowanie istniejącego sterownika SKP_1 do odczytu danych z nowego procesora.</w:t>
      </w:r>
    </w:p>
    <w:p w:rsidR="00790086" w:rsidRPr="00D5680F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D5680F">
        <w:rPr>
          <w:rFonts w:ascii="Acumin Pro" w:hAnsi="Acumin Pro" w:cstheme="minorHAnsi"/>
          <w:sz w:val="20"/>
          <w:szCs w:val="20"/>
        </w:rPr>
        <w:t xml:space="preserve">Adaptacja </w:t>
      </w:r>
      <w:r w:rsidR="00FA42DD" w:rsidRPr="00D5680F">
        <w:rPr>
          <w:rFonts w:ascii="Acumin Pro" w:hAnsi="Acumin Pro" w:cstheme="minorHAnsi"/>
          <w:sz w:val="20"/>
          <w:szCs w:val="20"/>
        </w:rPr>
        <w:t xml:space="preserve">istniejącego </w:t>
      </w:r>
      <w:r w:rsidRPr="00D5680F">
        <w:rPr>
          <w:rFonts w:ascii="Acumin Pro" w:hAnsi="Acumin Pro" w:cstheme="minorHAnsi"/>
          <w:sz w:val="20"/>
          <w:szCs w:val="20"/>
        </w:rPr>
        <w:t>systemu bazy danych BMS Honeywell EBI oraz systemu grafik wizualizacyjnych ze względu na wprowadzone modyfikacje i rozbudowę.</w:t>
      </w: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>Wykonanie pomiarów elektrycznych ochronnych.</w:t>
      </w: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hAnsi="Acumin Pro" w:cstheme="minorHAnsi"/>
          <w:sz w:val="20"/>
          <w:szCs w:val="20"/>
        </w:rPr>
      </w:pPr>
      <w:r w:rsidRPr="003261F2">
        <w:rPr>
          <w:rFonts w:ascii="Acumin Pro" w:hAnsi="Acumin Pro" w:cstheme="minorHAnsi"/>
          <w:sz w:val="20"/>
          <w:szCs w:val="20"/>
        </w:rPr>
        <w:t>Uruchomienie i regulacja układów sterowania wraz z przeprowadzeniem 48-godzinnej próby potwierdzonej protokołem.</w:t>
      </w: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Przeszkolenie personelu technicznego w zakresie obsługi systemu.</w:t>
      </w:r>
    </w:p>
    <w:p w:rsidR="00790086" w:rsidRPr="003261F2" w:rsidRDefault="00790086" w:rsidP="00790086">
      <w:pPr>
        <w:pStyle w:val="Akapitzlist"/>
        <w:numPr>
          <w:ilvl w:val="0"/>
          <w:numId w:val="2"/>
        </w:numPr>
        <w:spacing w:after="0" w:line="276" w:lineRule="auto"/>
        <w:ind w:left="0" w:hanging="357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Wykonawca powinien posiadać wsparcie producenta systemu BMS oraz aktualny certyfikat autoryzacji obejmujący następujące systemy:</w:t>
      </w:r>
    </w:p>
    <w:p w:rsidR="00790086" w:rsidRPr="003261F2" w:rsidRDefault="00790086" w:rsidP="00790086">
      <w:pPr>
        <w:pStyle w:val="Akapitzlist"/>
        <w:spacing w:after="0" w:line="276" w:lineRule="auto"/>
        <w:ind w:left="0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a) </w:t>
      </w:r>
      <w:r w:rsidR="00FA42DD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do 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wszystkich wersji systemu</w:t>
      </w:r>
      <w:r w:rsidR="00FA42DD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Honeywell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EBI, łącznie z najnowszą wersję </w:t>
      </w:r>
      <w:r w:rsidRPr="00B762D1">
        <w:rPr>
          <w:rFonts w:ascii="Acumin Pro" w:eastAsia="Times New Roman" w:hAnsi="Acumin Pro" w:cstheme="minorHAnsi"/>
          <w:color w:val="000000" w:themeColor="text1"/>
          <w:sz w:val="20"/>
          <w:szCs w:val="20"/>
          <w:lang w:eastAsia="pl-PL"/>
        </w:rPr>
        <w:t>EBI R600</w:t>
      </w:r>
      <w:r w:rsidR="00B762D1" w:rsidRPr="00B762D1">
        <w:rPr>
          <w:rFonts w:ascii="Acumin Pro" w:eastAsia="Times New Roman" w:hAnsi="Acumin Pro" w:cstheme="minorHAnsi"/>
          <w:color w:val="000000" w:themeColor="text1"/>
          <w:sz w:val="20"/>
          <w:szCs w:val="20"/>
          <w:lang w:eastAsia="pl-PL"/>
        </w:rPr>
        <w:t xml:space="preserve"> lub nowszej</w:t>
      </w:r>
      <w:r w:rsidRPr="00B762D1">
        <w:rPr>
          <w:rFonts w:ascii="Acumin Pro" w:eastAsia="Times New Roman" w:hAnsi="Acumin Pro" w:cstheme="minorHAnsi"/>
          <w:color w:val="000000" w:themeColor="text1"/>
          <w:sz w:val="20"/>
          <w:szCs w:val="20"/>
          <w:lang w:eastAsia="pl-PL"/>
        </w:rPr>
        <w:t xml:space="preserve">, 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b) XL5000 (obsługa integrowanych sterowników obiektowych) – wraz z aplikacją programową Honeywell CARE</w:t>
      </w:r>
    </w:p>
    <w:p w:rsidR="00790086" w:rsidRPr="003261F2" w:rsidRDefault="00790086" w:rsidP="00790086">
      <w:pPr>
        <w:spacing w:after="0" w:line="276" w:lineRule="auto"/>
        <w:ind w:left="142" w:hanging="142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c) Comfort Point Open (obsługa integrowanych sterowników obiektowych) – wraz z aplikacją programową Honeywell CPO Studio,</w:t>
      </w:r>
    </w:p>
    <w:p w:rsidR="00790086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d) Niagara (obsługa integrowanych sterowników obiektowych) – wraz z aplikacją programową Honeywell Workbench.</w:t>
      </w:r>
    </w:p>
    <w:p w:rsidR="00790086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rPr>
          <w:rFonts w:ascii="Acumin Pro" w:hAnsi="Acumin Pro" w:cstheme="minorHAnsi"/>
          <w:sz w:val="20"/>
          <w:szCs w:val="20"/>
        </w:rPr>
      </w:pPr>
    </w:p>
    <w:p w:rsidR="00790086" w:rsidRPr="003261F2" w:rsidRDefault="00790086" w:rsidP="00790086">
      <w:pPr>
        <w:spacing w:after="0" w:line="276" w:lineRule="auto"/>
        <w:rPr>
          <w:rFonts w:ascii="Acumin Pro" w:hAnsi="Acumin Pro" w:cs="Times New Roman"/>
          <w:sz w:val="20"/>
          <w:szCs w:val="20"/>
          <w:u w:val="single"/>
        </w:rPr>
      </w:pPr>
      <w:r w:rsidRPr="003261F2">
        <w:rPr>
          <w:rFonts w:ascii="Acumin Pro" w:hAnsi="Acumin Pro" w:cs="Times New Roman"/>
          <w:sz w:val="20"/>
          <w:szCs w:val="20"/>
          <w:u w:val="single"/>
        </w:rPr>
        <w:t>Specyfikacja sterownika SKP2_1:</w:t>
      </w:r>
    </w:p>
    <w:p w:rsidR="00790086" w:rsidRPr="003261F2" w:rsidRDefault="00790086" w:rsidP="00790086">
      <w:pPr>
        <w:spacing w:after="0" w:line="276" w:lineRule="auto"/>
        <w:rPr>
          <w:rFonts w:ascii="Acumin Pro" w:hAnsi="Acumin Pro" w:cs="Times New Roman"/>
          <w:sz w:val="20"/>
          <w:szCs w:val="20"/>
          <w:u w:val="single"/>
        </w:rPr>
      </w:pPr>
    </w:p>
    <w:p w:rsidR="00790086" w:rsidRPr="00945653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val="en-US"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Jednostka podstawowa zawiera dwa izolowane porty RS485, dwa izolowane, niezależne porty Ethernet 10/100MB, USB do kopii zapasowej &amp;przywracania systemu oraz łączność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WiFi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. </w:t>
      </w:r>
      <w:r w:rsidRPr="00945653">
        <w:rPr>
          <w:rFonts w:ascii="Acumin Pro" w:eastAsia="Times New Roman" w:hAnsi="Acumin Pro" w:cstheme="minorHAnsi"/>
          <w:sz w:val="20"/>
          <w:szCs w:val="20"/>
          <w:lang w:val="en-US" w:eastAsia="pl-PL"/>
        </w:rPr>
        <w:t>Standardowe drivery: BACnet IP i MSTP, LON, KNX-IP, M-Bus, Modbus, oBIX, OpenADR, SNMP, Z-Wave, C-bus, Panel-bus.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Dodanie do jednostki podstawowej 10 urządzeń/500 punktów,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- 3-letnia obsługa serwisowa,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Wymienna karta Micro-SD z 4GB pamięci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flash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/2GB pamięci użytkownika,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współpraca z Niagara 4.1 i późniejszymi wersjami,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zegar czasu rzeczywistego,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zasilanie 24VAC.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Zestaw modułów przyłączeniowych: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Moduły wejść/wyjść „Plug-and-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play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” Panel Bus zapewniające łatwość serwisowania: </w:t>
      </w:r>
    </w:p>
    <w:p w:rsidR="00790086" w:rsidRPr="003261F2" w:rsidRDefault="00790086" w:rsidP="00790086">
      <w:pPr>
        <w:spacing w:after="0" w:line="276" w:lineRule="auto"/>
        <w:ind w:left="284" w:hanging="284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</w:t>
      </w:r>
      <w:r w:rsidRPr="00B478F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>2 moduły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wejść analogowych (8AI): zakres obsługiwanych czujników (NTC20kohm, PT1000-1/-2,0/2…10 V, 0/4…20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mA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).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</w:t>
      </w:r>
      <w:r w:rsidRPr="00B478F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>2 moduły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wyjść analogowych (8AO) z przełącznikiem pracy AOR (sterowanie 0..10VDC),</w:t>
      </w:r>
    </w:p>
    <w:p w:rsidR="00790086" w:rsidRPr="003261F2" w:rsidRDefault="00790086" w:rsidP="00790086">
      <w:pPr>
        <w:spacing w:after="0" w:line="276" w:lineRule="auto"/>
        <w:ind w:left="284" w:hanging="284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</w:t>
      </w:r>
      <w:r w:rsidRPr="00B478F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>6 modułów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wejść cyfrowych (12 DI) - diody LED wejść binarnych mogą zostać skonfigurowane dla każdego kanału jako wskaźniki stanu wejść (wyłączona/żółta), lub wskaźniki alarmu (zielona/czerwona).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</w:t>
      </w:r>
      <w:r w:rsidRPr="00B478F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>3 moduły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wyjść cyfrowych (6DO) z przełącznikiem pracy AOR,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Moduły wejść/wyjść wyposażone w dedykowane fabrycznie podstawy przyłączeniowe,</w:t>
      </w:r>
    </w:p>
    <w:p w:rsidR="00790086" w:rsidRPr="003261F2" w:rsidRDefault="00790086" w:rsidP="00790086">
      <w:pPr>
        <w:spacing w:after="0" w:line="276" w:lineRule="auto"/>
        <w:ind w:left="142" w:hanging="142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Moduły wejść/wyjść wtykane: wymiana modułów wejść/wyjść bez konieczności odłączania napięcia zasilającego i magistrali komunikacyjnej. 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Konfigurowalne pozycje bezpieczeństwa sygnałów.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hAnsi="Acumin Pro"/>
          <w:b/>
          <w:bCs/>
          <w:sz w:val="20"/>
          <w:szCs w:val="20"/>
        </w:rPr>
      </w:pPr>
    </w:p>
    <w:p w:rsidR="00790086" w:rsidRPr="003261F2" w:rsidRDefault="00790086" w:rsidP="00790086">
      <w:pPr>
        <w:spacing w:after="0" w:line="276" w:lineRule="auto"/>
        <w:rPr>
          <w:rFonts w:ascii="Acumin Pro" w:hAnsi="Acumin Pro" w:cs="Times New Roman"/>
          <w:sz w:val="20"/>
          <w:szCs w:val="20"/>
          <w:u w:val="single"/>
        </w:rPr>
      </w:pPr>
      <w:r w:rsidRPr="003261F2">
        <w:rPr>
          <w:rFonts w:ascii="Acumin Pro" w:hAnsi="Acumin Pro" w:cs="Times New Roman"/>
          <w:sz w:val="20"/>
          <w:szCs w:val="20"/>
          <w:u w:val="single"/>
        </w:rPr>
        <w:t>Specyfikacja sterownika SKP_1:</w:t>
      </w:r>
    </w:p>
    <w:p w:rsidR="00790086" w:rsidRPr="003261F2" w:rsidRDefault="00790086" w:rsidP="00790086">
      <w:pPr>
        <w:spacing w:after="0" w:line="276" w:lineRule="auto"/>
        <w:rPr>
          <w:rFonts w:ascii="Acumin Pro" w:hAnsi="Acumin Pro" w:cs="Times New Roman"/>
          <w:sz w:val="20"/>
          <w:szCs w:val="20"/>
          <w:u w:val="single"/>
        </w:rPr>
      </w:pPr>
    </w:p>
    <w:p w:rsidR="00790086" w:rsidRPr="00945653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val="en-US"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Jednostka podstawowa zawiera dwa izolowane porty RS485, dwa izolowane, niezależne porty Ethernet 10/100MB, USB do kopii zapasowej &amp;przywracania systemu oraz łączność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WiFi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. </w:t>
      </w:r>
      <w:r w:rsidRPr="00945653">
        <w:rPr>
          <w:rFonts w:ascii="Acumin Pro" w:eastAsia="Times New Roman" w:hAnsi="Acumin Pro" w:cstheme="minorHAnsi"/>
          <w:sz w:val="20"/>
          <w:szCs w:val="20"/>
          <w:lang w:val="en-US" w:eastAsia="pl-PL"/>
        </w:rPr>
        <w:t>Standardowe drivery: BACnet IP i MSTP, LON, KNX-IP, M-Bus, Modbus, oBIX, OpenADR, SNMP, Z-Wave, C-bus, Panel-bus.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Dodanie do jednostki podstawowej 10 urządzeń/500 punktów,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- 3-letnia obsługa serwisowa,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Wymienna karta Micro-SD z 4GB pamięci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flash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/2GB pamięci użytkownika,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współpraca z Niagara 4.1 i późniejszymi wersjami,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zegar czasu rzeczywistego,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zasilanie 24VAC.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Zestaw modułów przyłączeniowych: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Moduły wejść/wyjść „Plug-and-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play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” Panel Bus zapewniające łatwość serwisowania: 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- 1 moduł wejść analogowych (8AI): zakres obsługiwanych czujników (NTC20kohm, PT1000-1/-2,0/2…10 V, 0/4…20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mA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).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- 1 moduły wyjść analogowych (8AO) z przełącznikiem pracy AOR (sterowanie 0..10VDC),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Moduły wejść/wyjść wyposażone w dedykowane fabrycznie podstawy przyłączeniowe,</w:t>
      </w:r>
    </w:p>
    <w:p w:rsidR="00790086" w:rsidRPr="003261F2" w:rsidRDefault="00790086" w:rsidP="00790086">
      <w:pPr>
        <w:spacing w:after="0" w:line="276" w:lineRule="auto"/>
        <w:ind w:left="142" w:hanging="142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lastRenderedPageBreak/>
        <w:t xml:space="preserve">- Moduły wejść/wyjść wtykane: wymiana modułów wejść/wyjść bez konieczności odłączania napięcia zasilającego i magistrali komunikacyjnej. 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Konfigurowalne pozycje bezpieczeństwa sygnałów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u w:val="single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u w:val="single"/>
          <w:lang w:eastAsia="pl-PL"/>
        </w:rPr>
        <w:t>Specyfikacja systemu pomiaru bezprzewodowego: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u w:val="single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Jednostka centralna: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komunikacja w systemie MESH,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Zasilanie 24 V AC/DC (22...26 V), &lt; 7 VA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Częstotliwość sieci 2,4 GHz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Zasięg sieci (maksymalna odległość między urządzeniami): do 100 m w pomieszczeniach / do 200 m na zewnątrz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Rozmiar sieci do 100 przetworników,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Uwaga: Osiągi sieci zależą od jej struktury. Prędkość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Wejścia 6 × wejście uniwersalne (NTC 10 / Pt1000 / rezystancyjne /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bezpotencjałowe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/ 0...10 V DC)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Wyjścia 6 × 0...10 V DC / 2...10 V DC, -0,5...+2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mA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Wyjście zasilania 2 x 24 V AC, obciążenie całkowite &lt;8 A,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- Komunikacja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Modbus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RTU /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Modbus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TCP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Czujnik temperatury/wilgotności – </w:t>
      </w:r>
      <w:r w:rsidRPr="00B478F7">
        <w:rPr>
          <w:rFonts w:ascii="Acumin Pro" w:eastAsia="Times New Roman" w:hAnsi="Acumin Pro" w:cstheme="minorHAnsi"/>
          <w:b/>
          <w:sz w:val="20"/>
          <w:szCs w:val="20"/>
          <w:lang w:eastAsia="pl-PL"/>
        </w:rPr>
        <w:t>2 szt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.: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zasilanie bateryjne: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ab/>
        <w:t xml:space="preserve">3,6 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Vdc</w:t>
      </w:r>
      <w:proofErr w:type="spellEnd"/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Częstotliwość transmisji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ab/>
        <w:t>2,4 GHz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Zakres pomiarowy (temperatury)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ab/>
        <w:t>0...50 °C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Zakres pomiarowy (wilgotności)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ab/>
        <w:t>0...100 %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rH</w:t>
      </w:r>
      <w:proofErr w:type="spellEnd"/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Dokładność pomiarowy (temperatury)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ab/>
        <w:t>±0,5 °C (25 °C)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Dokładność pomiarowy (wilgotności)</w:t>
      </w: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ab/>
        <w:t>±3 %</w:t>
      </w:r>
      <w:proofErr w:type="spellStart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rH</w:t>
      </w:r>
      <w:proofErr w:type="spellEnd"/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 xml:space="preserve"> (25 °C)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eastAsia="Times New Roman" w:hAnsi="Acumin Pro" w:cstheme="minorHAnsi"/>
          <w:sz w:val="20"/>
          <w:szCs w:val="20"/>
          <w:lang w:eastAsia="pl-PL"/>
        </w:rPr>
      </w:pPr>
      <w:r w:rsidRPr="003261F2">
        <w:rPr>
          <w:rFonts w:ascii="Acumin Pro" w:eastAsia="Times New Roman" w:hAnsi="Acumin Pro" w:cstheme="minorHAnsi"/>
          <w:sz w:val="20"/>
          <w:szCs w:val="20"/>
          <w:lang w:eastAsia="pl-PL"/>
        </w:rPr>
        <w:t>- zgodność transmisji z jednostką centralną.</w:t>
      </w:r>
    </w:p>
    <w:p w:rsidR="00790086" w:rsidRPr="003261F2" w:rsidRDefault="00790086" w:rsidP="00790086">
      <w:pPr>
        <w:spacing w:after="0" w:line="276" w:lineRule="auto"/>
        <w:jc w:val="both"/>
        <w:rPr>
          <w:rFonts w:ascii="Acumin Pro" w:hAnsi="Acumin Pro"/>
          <w:b/>
          <w:bCs/>
          <w:sz w:val="20"/>
          <w:szCs w:val="20"/>
        </w:rPr>
      </w:pPr>
    </w:p>
    <w:p w:rsidR="00790086" w:rsidRPr="003261F2" w:rsidRDefault="00790086" w:rsidP="00790086">
      <w:pPr>
        <w:spacing w:after="0" w:line="276" w:lineRule="auto"/>
        <w:jc w:val="both"/>
        <w:rPr>
          <w:rFonts w:ascii="Acumin Pro" w:hAnsi="Acumin Pro"/>
          <w:b/>
          <w:bCs/>
          <w:sz w:val="20"/>
          <w:szCs w:val="20"/>
        </w:rPr>
      </w:pPr>
    </w:p>
    <w:p w:rsidR="007C64F5" w:rsidRDefault="007C64F5">
      <w:pPr>
        <w:rPr>
          <w:rFonts w:ascii="Acumin Pro" w:hAnsi="Acumin Pro"/>
          <w:sz w:val="20"/>
          <w:szCs w:val="20"/>
        </w:rPr>
      </w:pPr>
    </w:p>
    <w:p w:rsidR="00790086" w:rsidRPr="00790086" w:rsidRDefault="00790086">
      <w:pPr>
        <w:rPr>
          <w:rFonts w:ascii="Acumin Pro" w:hAnsi="Acumin Pro"/>
          <w:sz w:val="20"/>
          <w:szCs w:val="20"/>
        </w:rPr>
      </w:pPr>
    </w:p>
    <w:sectPr w:rsidR="00790086" w:rsidRPr="0079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E2E19"/>
    <w:multiLevelType w:val="hybridMultilevel"/>
    <w:tmpl w:val="50B46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024325"/>
    <w:multiLevelType w:val="hybridMultilevel"/>
    <w:tmpl w:val="6D061B48"/>
    <w:lvl w:ilvl="0" w:tplc="0415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 w15:restartNumberingAfterBreak="0">
    <w:nsid w:val="7DB42C3E"/>
    <w:multiLevelType w:val="hybridMultilevel"/>
    <w:tmpl w:val="A62C99B0"/>
    <w:lvl w:ilvl="0" w:tplc="57FA7A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086"/>
    <w:rsid w:val="00516480"/>
    <w:rsid w:val="00790086"/>
    <w:rsid w:val="007C64F5"/>
    <w:rsid w:val="00861777"/>
    <w:rsid w:val="00945653"/>
    <w:rsid w:val="009B25FF"/>
    <w:rsid w:val="00B478F7"/>
    <w:rsid w:val="00B762D1"/>
    <w:rsid w:val="00D5680F"/>
    <w:rsid w:val="00D7587F"/>
    <w:rsid w:val="00FA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B0FA8"/>
  <w15:chartTrackingRefBased/>
  <w15:docId w15:val="{9F0996F4-7386-47E8-8D2F-0F9E0A186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00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00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47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915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Smokowski</dc:creator>
  <cp:keywords/>
  <dc:description/>
  <cp:lastModifiedBy>Agnieszka</cp:lastModifiedBy>
  <cp:revision>10</cp:revision>
  <cp:lastPrinted>2021-10-22T11:53:00Z</cp:lastPrinted>
  <dcterms:created xsi:type="dcterms:W3CDTF">2021-10-22T05:48:00Z</dcterms:created>
  <dcterms:modified xsi:type="dcterms:W3CDTF">2021-11-02T10:45:00Z</dcterms:modified>
</cp:coreProperties>
</file>